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URBA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NO </w:t>
      </w:r>
      <w:r w:rsidR="00E77AAD" w:rsidRPr="00AF1E05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0084</w:t>
      </w:r>
      <w:r w:rsidRPr="00AF1E05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AF1E05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AF1E05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UNID</w:t>
      </w:r>
      <w:r w:rsidR="00C2691E">
        <w:rPr>
          <w:rFonts w:ascii="Arial Narrow" w:hAnsi="Arial Narrow"/>
          <w:b/>
          <w:color w:val="1D1B11" w:themeColor="background2" w:themeShade="1A"/>
          <w:sz w:val="24"/>
          <w:szCs w:val="24"/>
        </w:rPr>
        <w:t>AD DE TRANSPARENCIA E INFORMACIÓ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PÚBLICA </w:t>
      </w:r>
    </w:p>
    <w:p w:rsidR="00BE0B84" w:rsidRPr="001207F3" w:rsidRDefault="000432E2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DEL MUNICIPIO</w:t>
      </w:r>
      <w:r w:rsidR="00C2691E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="00BE0B84"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C2691E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45329F">
        <w:rPr>
          <w:rFonts w:ascii="Arial Narrow" w:hAnsi="Arial Narrow"/>
          <w:b/>
          <w:color w:val="1D1B11" w:themeColor="background2" w:themeShade="1A"/>
        </w:rPr>
        <w:t>AL   MES DE</w:t>
      </w:r>
      <w:bookmarkStart w:id="0" w:name="_GoBack"/>
      <w:bookmarkEnd w:id="0"/>
      <w:r w:rsidR="00126926">
        <w:rPr>
          <w:rFonts w:ascii="Arial Narrow" w:hAnsi="Arial Narrow"/>
          <w:b/>
          <w:color w:val="1D1B11" w:themeColor="background2" w:themeShade="1A"/>
        </w:rPr>
        <w:t xml:space="preserve"> </w:t>
      </w:r>
      <w:r w:rsidR="00B36F99">
        <w:rPr>
          <w:rFonts w:ascii="Arial Narrow" w:hAnsi="Arial Narrow"/>
          <w:b/>
          <w:color w:val="1D1B11" w:themeColor="background2" w:themeShade="1A"/>
        </w:rPr>
        <w:t>SEPTIEMBRE 2020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45329F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45329F">
        <w:rPr>
          <w:rFonts w:ascii="Arial" w:hAnsi="Arial" w:cs="Arial"/>
          <w:b/>
          <w:color w:val="1D1B11" w:themeColor="background2" w:themeShade="1A"/>
        </w:rPr>
        <w:t xml:space="preserve">Durante </w:t>
      </w:r>
      <w:r w:rsidR="00AF1E05">
        <w:rPr>
          <w:rFonts w:ascii="Arial" w:hAnsi="Arial" w:cs="Arial"/>
          <w:b/>
          <w:color w:val="1D1B11" w:themeColor="background2" w:themeShade="1A"/>
        </w:rPr>
        <w:t>el mes de</w:t>
      </w:r>
      <w:r w:rsidR="00936FDF" w:rsidRPr="0045329F">
        <w:rPr>
          <w:rFonts w:ascii="Arial" w:hAnsi="Arial" w:cs="Arial"/>
          <w:b/>
          <w:color w:val="1D1B11" w:themeColor="background2" w:themeShade="1A"/>
        </w:rPr>
        <w:t xml:space="preserve"> </w:t>
      </w:r>
      <w:r w:rsidR="0045329F">
        <w:rPr>
          <w:rFonts w:ascii="Arial" w:hAnsi="Arial" w:cs="Arial"/>
          <w:b/>
          <w:color w:val="1D1B11" w:themeColor="background2" w:themeShade="1A"/>
        </w:rPr>
        <w:t>SEPTIEMBRE DEL AÑO 2020</w:t>
      </w:r>
      <w:r w:rsidR="00936FDF" w:rsidRPr="0045329F">
        <w:rPr>
          <w:rFonts w:ascii="Arial" w:hAnsi="Arial" w:cs="Arial"/>
          <w:b/>
          <w:color w:val="1D1B11" w:themeColor="background2" w:themeShade="1A"/>
        </w:rPr>
        <w:t xml:space="preserve"> </w:t>
      </w: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418"/>
        <w:gridCol w:w="993"/>
        <w:gridCol w:w="888"/>
        <w:gridCol w:w="1214"/>
        <w:gridCol w:w="1027"/>
        <w:gridCol w:w="1123"/>
        <w:gridCol w:w="850"/>
        <w:gridCol w:w="851"/>
      </w:tblGrid>
      <w:tr w:rsidR="00126926" w:rsidRPr="00126926" w:rsidTr="00BD7EE1">
        <w:trPr>
          <w:trHeight w:val="4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45329F" w:rsidRPr="00126926" w:rsidTr="00BD7EE1">
        <w:trPr>
          <w:trHeight w:val="52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CONSTRUCTORA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UBICACIÓN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RFC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CLAVE DE AUTORIZACIÓN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EXPEDIENTE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USO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INGRESO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524FE8" w:rsidRPr="00126926" w:rsidTr="00BD7EE1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45329F" w:rsidP="004532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CASA GRANDE SANTA TERESA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9F" w:rsidRDefault="0045329F" w:rsidP="004532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DITGSA</w:t>
            </w:r>
          </w:p>
          <w:p w:rsidR="00126926" w:rsidRPr="00126926" w:rsidRDefault="0045329F" w:rsidP="004532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ARQ. JOSÉ ANTONIO GONZALEZ QUINTERO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 </w:t>
            </w:r>
            <w:r w:rsidR="0045329F"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SAN SEBASTIAN DEL SUR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815FA9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DDI090210C47</w:t>
            </w:r>
            <w:r w:rsidR="00126926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45329F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DESARROLLO URBANO 081/</w:t>
            </w:r>
            <w:r w:rsidR="00FA7E9A"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2018-2021</w:t>
            </w:r>
            <w:r w:rsidR="00126926"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FA7E9A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DESARROLLO URBANO 081/2018-2021 </w:t>
            </w:r>
            <w:r w:rsidR="00126926"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BD7EE1" w:rsidRDefault="00FA7E9A" w:rsidP="0060575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 xml:space="preserve">HABITACIONAL </w:t>
            </w:r>
            <w:r w:rsidR="00524FE8"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H4-U</w:t>
            </w:r>
            <w:r w:rsidR="00126926"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E8" w:rsidRPr="00BD7EE1" w:rsidRDefault="00481EF9" w:rsidP="0060575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$ 307,</w:t>
            </w:r>
            <w:r w:rsidR="00524FE8"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487.53</w:t>
            </w:r>
          </w:p>
          <w:p w:rsidR="00126926" w:rsidRPr="00126926" w:rsidRDefault="00524FE8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CONVENIO DE PAGO MGF/202/154/2020</w:t>
            </w:r>
            <w:r w:rsidR="00126926"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26" w:rsidRPr="00126926" w:rsidRDefault="00524FE8" w:rsidP="00605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04/SEP/2020</w:t>
            </w:r>
            <w:r w:rsidR="00126926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815FA9" w:rsidRPr="00126926" w:rsidTr="00BD7EE1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CASA GRANDE ARBOLEDAS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DITGSA</w:t>
            </w:r>
          </w:p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ARQ. JOSÉ ANTONIO GONZALEZ QUINTERO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SAN SEBASTIAN DEL SUR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DDI090210C47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DESARROLLO URBANO 078/2018-2021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DESARROLLO URBANO 078/2018-2021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HABITACIONAL H4-U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BD7EE1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$ 505,792.59</w:t>
            </w:r>
          </w:p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D7EE1">
              <w:rPr>
                <w:rFonts w:ascii="Arial" w:eastAsia="Times New Roman" w:hAnsi="Arial" w:cs="Arial"/>
                <w:color w:val="000000"/>
                <w:sz w:val="12"/>
                <w:szCs w:val="18"/>
                <w:lang w:val="es-MX" w:eastAsia="es-MX"/>
              </w:rPr>
              <w:t>CONVENIO DE PAGO MGF/202/150/2020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A9" w:rsidRPr="00126926" w:rsidRDefault="00815FA9" w:rsidP="00815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04/SEP/2020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66134F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“2020, AÑO DE LEONA VICARIO BENEMERITA MADRE DE LA </w:t>
      </w:r>
      <w:r w:rsidR="0045329F">
        <w:rPr>
          <w:rFonts w:ascii="Arial" w:hAnsi="Arial" w:cs="Arial"/>
          <w:b/>
          <w:sz w:val="24"/>
          <w:szCs w:val="24"/>
        </w:rPr>
        <w:t>PATRIA”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536026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 de octubre del año 2020</w:t>
      </w:r>
    </w:p>
    <w:p w:rsidR="008553B9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F717C2" w:rsidRPr="001207F3" w:rsidRDefault="00F717C2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8553B9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F717C2" w:rsidRPr="001207F3" w:rsidRDefault="00F717C2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F717C2" w:rsidRDefault="008553B9" w:rsidP="00F717C2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F717C2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40EF"/>
    <w:rsid w:val="000D0071"/>
    <w:rsid w:val="000E0FC5"/>
    <w:rsid w:val="000F22A5"/>
    <w:rsid w:val="001014ED"/>
    <w:rsid w:val="0010277C"/>
    <w:rsid w:val="001207F3"/>
    <w:rsid w:val="001224B5"/>
    <w:rsid w:val="0012408D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329F"/>
    <w:rsid w:val="0045750F"/>
    <w:rsid w:val="00474829"/>
    <w:rsid w:val="004778B7"/>
    <w:rsid w:val="00481EF9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4FE8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83D4E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15FA9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A39F6"/>
    <w:rsid w:val="009B2417"/>
    <w:rsid w:val="009B341F"/>
    <w:rsid w:val="009C14F6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A2FB8"/>
    <w:rsid w:val="00AE3C2B"/>
    <w:rsid w:val="00AE3EC2"/>
    <w:rsid w:val="00AE4B00"/>
    <w:rsid w:val="00AF1E05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D7EE1"/>
    <w:rsid w:val="00BE0B84"/>
    <w:rsid w:val="00BE777E"/>
    <w:rsid w:val="00BF528B"/>
    <w:rsid w:val="00C06462"/>
    <w:rsid w:val="00C15BDE"/>
    <w:rsid w:val="00C20A23"/>
    <w:rsid w:val="00C2380B"/>
    <w:rsid w:val="00C2691E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57206"/>
    <w:rsid w:val="00F638BF"/>
    <w:rsid w:val="00F647DB"/>
    <w:rsid w:val="00F64CE0"/>
    <w:rsid w:val="00F717C2"/>
    <w:rsid w:val="00F81842"/>
    <w:rsid w:val="00F82A0C"/>
    <w:rsid w:val="00F834D3"/>
    <w:rsid w:val="00F91E07"/>
    <w:rsid w:val="00F9579A"/>
    <w:rsid w:val="00FA7E0C"/>
    <w:rsid w:val="00FA7E9A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DE4C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8</cp:revision>
  <cp:lastPrinted>2021-02-15T20:08:00Z</cp:lastPrinted>
  <dcterms:created xsi:type="dcterms:W3CDTF">2021-02-15T19:37:00Z</dcterms:created>
  <dcterms:modified xsi:type="dcterms:W3CDTF">2021-02-15T20:11:00Z</dcterms:modified>
</cp:coreProperties>
</file>