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9A" w:rsidRDefault="00B24E0B" w:rsidP="00236142">
      <w:pPr>
        <w:jc w:val="center"/>
        <w:rPr>
          <w:rFonts w:ascii="Arial Narrow" w:hAnsi="Arial Narrow"/>
          <w:b/>
          <w:sz w:val="28"/>
        </w:rPr>
      </w:pPr>
      <w:r>
        <w:rPr>
          <w:rFonts w:ascii="Arial Narrow" w:hAnsi="Arial Narrow"/>
          <w:b/>
          <w:sz w:val="28"/>
        </w:rPr>
        <w:t xml:space="preserve">COMUR </w:t>
      </w:r>
      <w:r w:rsidR="00EB6757">
        <w:rPr>
          <w:rFonts w:ascii="Arial Narrow" w:hAnsi="Arial Narrow"/>
          <w:b/>
          <w:sz w:val="28"/>
        </w:rPr>
        <w:t>(comisión</w:t>
      </w:r>
      <w:r>
        <w:rPr>
          <w:rFonts w:ascii="Arial Narrow" w:hAnsi="Arial Narrow"/>
          <w:b/>
          <w:sz w:val="28"/>
        </w:rPr>
        <w:t xml:space="preserve"> municipal de regularización)</w:t>
      </w:r>
    </w:p>
    <w:p w:rsidR="00236142" w:rsidRDefault="00236142" w:rsidP="00236142">
      <w:pPr>
        <w:spacing w:after="0"/>
        <w:jc w:val="both"/>
        <w:rPr>
          <w:rFonts w:ascii="Arial Narrow" w:hAnsi="Arial Narrow"/>
          <w:b/>
          <w:sz w:val="24"/>
        </w:rPr>
      </w:pPr>
    </w:p>
    <w:p w:rsidR="00B80990" w:rsidRPr="00B80990" w:rsidRDefault="00236142" w:rsidP="00B80990">
      <w:pPr>
        <w:pStyle w:val="Prrafodelista"/>
        <w:numPr>
          <w:ilvl w:val="0"/>
          <w:numId w:val="4"/>
        </w:numPr>
        <w:spacing w:after="0"/>
        <w:jc w:val="both"/>
        <w:rPr>
          <w:rFonts w:ascii="Arial Narrow" w:hAnsi="Arial Narrow"/>
          <w:b/>
          <w:sz w:val="24"/>
        </w:rPr>
      </w:pPr>
      <w:r w:rsidRPr="00B80990">
        <w:rPr>
          <w:rFonts w:ascii="Arial Narrow" w:hAnsi="Arial Narrow"/>
          <w:b/>
          <w:sz w:val="24"/>
        </w:rPr>
        <w:t>INTRODUCCION:</w:t>
      </w:r>
      <w:r w:rsidR="00B80990" w:rsidRPr="00B80990">
        <w:rPr>
          <w:rFonts w:ascii="Arial Narrow" w:hAnsi="Arial Narrow"/>
          <w:b/>
          <w:sz w:val="24"/>
        </w:rPr>
        <w:t xml:space="preserve"> </w:t>
      </w:r>
      <w:r w:rsidR="00EB1BEE">
        <w:rPr>
          <w:rFonts w:ascii="Arial Narrow" w:hAnsi="Arial Narrow"/>
        </w:rPr>
        <w:t xml:space="preserve">promover </w:t>
      </w:r>
      <w:r w:rsidR="00B80990" w:rsidRPr="00B80990">
        <w:rPr>
          <w:rFonts w:ascii="Arial Narrow" w:hAnsi="Arial Narrow"/>
        </w:rPr>
        <w:t xml:space="preserve"> las normativas de regularización de predios urbanos y espacios públicos a bien del h. ayuntamiento de Gómez Farías, traduciéndolo con acciones visionarias de una manera activa que se traduzca en la mejora de la calidad de vida de los habitantes del municipio.</w:t>
      </w:r>
    </w:p>
    <w:p w:rsidR="00B80990" w:rsidRPr="00CC18DD" w:rsidRDefault="007F5B0A" w:rsidP="00B80990">
      <w:pPr>
        <w:pStyle w:val="NormalWeb"/>
        <w:spacing w:line="276" w:lineRule="auto"/>
        <w:jc w:val="both"/>
        <w:rPr>
          <w:rFonts w:ascii="Arial Narrow" w:hAnsi="Arial Narrow"/>
        </w:rPr>
      </w:pPr>
      <w:r>
        <w:rPr>
          <w:rFonts w:ascii="Arial Narrow" w:hAnsi="Arial Narrow"/>
          <w:b/>
        </w:rPr>
        <w:t>2. OBJETIVO GENERAL DE</w:t>
      </w:r>
      <w:r w:rsidR="0012766B">
        <w:rPr>
          <w:rFonts w:ascii="Arial Narrow" w:hAnsi="Arial Narrow"/>
          <w:b/>
        </w:rPr>
        <w:t>L PROGRAMA ANUAL DE TRABAJO 2020</w:t>
      </w:r>
      <w:r>
        <w:rPr>
          <w:rFonts w:ascii="Arial Narrow" w:hAnsi="Arial Narrow"/>
          <w:b/>
        </w:rPr>
        <w:t>:</w:t>
      </w:r>
      <w:r w:rsidR="00B80990">
        <w:rPr>
          <w:rFonts w:ascii="Arial Narrow" w:hAnsi="Arial Narrow"/>
          <w:b/>
        </w:rPr>
        <w:t xml:space="preserve"> </w:t>
      </w:r>
      <w:r w:rsidR="00B80990" w:rsidRPr="00CC18DD">
        <w:rPr>
          <w:rFonts w:ascii="Arial Narrow" w:hAnsi="Arial Narrow"/>
        </w:rPr>
        <w:t>Implementar programas de estrategias para la regularización de fraccionamientos o asentamientos irregulares</w:t>
      </w:r>
      <w:r w:rsidR="00B80990">
        <w:rPr>
          <w:rFonts w:ascii="Arial Narrow" w:hAnsi="Arial Narrow"/>
        </w:rPr>
        <w:t>, Fomentando</w:t>
      </w:r>
      <w:r w:rsidR="00B80990" w:rsidRPr="00CC18DD">
        <w:rPr>
          <w:rFonts w:ascii="Arial Narrow" w:hAnsi="Arial Narrow"/>
        </w:rPr>
        <w:t xml:space="preserve"> la participación ciudadana mediante la solicitud de obras prioritarias que ataque el rezago social y asentamiento humanos irregulares.</w:t>
      </w:r>
    </w:p>
    <w:p w:rsidR="00B80990" w:rsidRPr="00B80990" w:rsidRDefault="00B80990" w:rsidP="00B80990">
      <w:pPr>
        <w:spacing w:after="0"/>
        <w:jc w:val="both"/>
        <w:rPr>
          <w:rFonts w:ascii="Arial Narrow" w:hAnsi="Arial Narrow"/>
          <w:b/>
          <w:sz w:val="24"/>
          <w:lang w:val="es-ES"/>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AB0372" w:rsidRDefault="007F5B0A" w:rsidP="007F5B0A">
            <w:pPr>
              <w:jc w:val="both"/>
              <w:rPr>
                <w:rFonts w:ascii="Arial Narrow" w:hAnsi="Arial Narrow"/>
                <w:color w:val="FF0000"/>
                <w:sz w:val="24"/>
              </w:rPr>
            </w:pPr>
            <w:r w:rsidRPr="00AB0372">
              <w:rPr>
                <w:rFonts w:ascii="Arial Narrow" w:hAnsi="Arial Narrow"/>
                <w:color w:val="FF0000"/>
                <w:sz w:val="24"/>
              </w:rPr>
              <w:t>OBJETIVO SUPERIOR:</w:t>
            </w:r>
          </w:p>
          <w:p w:rsidR="00BD1E4A" w:rsidRPr="00AB0372" w:rsidRDefault="00BD1E4A" w:rsidP="00BD1E4A">
            <w:pPr>
              <w:jc w:val="both"/>
              <w:rPr>
                <w:rFonts w:ascii="Arial Narrow" w:hAnsi="Arial Narrow"/>
              </w:rPr>
            </w:pPr>
            <w:r w:rsidRPr="00AB0372">
              <w:rPr>
                <w:rFonts w:ascii="Arial Narrow" w:hAnsi="Arial Narrow"/>
              </w:rPr>
              <w:t>Meta Nacional</w:t>
            </w:r>
          </w:p>
          <w:p w:rsidR="00AB0372" w:rsidRDefault="00AB0372" w:rsidP="00683AE0">
            <w:pPr>
              <w:autoSpaceDE w:val="0"/>
              <w:autoSpaceDN w:val="0"/>
              <w:adjustRightInd w:val="0"/>
              <w:rPr>
                <w:rFonts w:ascii="SoberanaSans-Bold" w:hAnsi="SoberanaSans-Bold" w:cs="SoberanaSans-Bold"/>
                <w:b w:val="0"/>
                <w:bCs w:val="0"/>
                <w:sz w:val="20"/>
                <w:szCs w:val="20"/>
                <w:highlight w:val="yellow"/>
              </w:rPr>
            </w:pPr>
            <w:r>
              <w:rPr>
                <w:rFonts w:ascii="SoberanaSans-Bold" w:hAnsi="SoberanaSans-Bold" w:cs="SoberanaSans-Bold"/>
                <w:b w:val="0"/>
                <w:bCs w:val="0"/>
                <w:sz w:val="20"/>
                <w:szCs w:val="20"/>
              </w:rPr>
              <w:t>VI.2. México Incluyente</w:t>
            </w:r>
          </w:p>
          <w:p w:rsidR="00AB0372" w:rsidRDefault="00AB0372" w:rsidP="00AB0372">
            <w:pPr>
              <w:autoSpaceDE w:val="0"/>
              <w:autoSpaceDN w:val="0"/>
              <w:adjustRightInd w:val="0"/>
              <w:rPr>
                <w:rFonts w:ascii="SoberanaSans-Light" w:hAnsi="SoberanaSans-Light" w:cs="SoberanaSans-Light"/>
                <w:sz w:val="18"/>
                <w:szCs w:val="18"/>
              </w:rPr>
            </w:pPr>
            <w:r>
              <w:rPr>
                <w:rFonts w:ascii="SoberanaSans-Light" w:hAnsi="SoberanaSans-Light" w:cs="SoberanaSans-Light"/>
                <w:sz w:val="18"/>
                <w:szCs w:val="18"/>
              </w:rPr>
              <w:t>Objetivo 2.5. Proveer un entorno adecuado para el desarrollo de una vida digna.</w:t>
            </w:r>
          </w:p>
          <w:p w:rsidR="00BD1E4A" w:rsidRPr="00E80AF7" w:rsidRDefault="00AB0372" w:rsidP="00AB0372">
            <w:pPr>
              <w:jc w:val="both"/>
              <w:rPr>
                <w:rFonts w:ascii="Arial Narrow" w:hAnsi="Arial Narrow"/>
                <w:sz w:val="24"/>
                <w:highlight w:val="yellow"/>
              </w:rPr>
            </w:pPr>
            <w:r>
              <w:rPr>
                <w:rFonts w:ascii="SoberanaSans-Light" w:hAnsi="SoberanaSans-Light" w:cs="SoberanaSans-Light"/>
                <w:sz w:val="18"/>
                <w:szCs w:val="18"/>
              </w:rPr>
              <w:t>Enfoque transversal (México Incluyente)</w:t>
            </w:r>
          </w:p>
        </w:tc>
        <w:tc>
          <w:tcPr>
            <w:tcW w:w="4678" w:type="dxa"/>
          </w:tcPr>
          <w:p w:rsidR="007F5B0A" w:rsidRPr="009F42F8" w:rsidRDefault="007F5B0A" w:rsidP="009F42F8">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Los ordenamientos ecológicos determinan políticas y criterios para el uso del suelo a través de</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Unidades de Gestión Ambiental y los ordenamientos urbanos por medio de una normatividad</w:t>
            </w:r>
          </w:p>
          <w:p w:rsidR="009F42F8" w:rsidRPr="009F42F8" w:rsidRDefault="009F42F8" w:rsidP="009F42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más específica para el uso del suelo y estructura urbana, denominada zonificación primaria o</w:t>
            </w:r>
          </w:p>
          <w:p w:rsidR="009F42F8" w:rsidRPr="009F42F8" w:rsidRDefault="009F42F8" w:rsidP="009F42F8">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highlight w:val="yellow"/>
              </w:rPr>
            </w:pPr>
            <w:r w:rsidRPr="009F42F8">
              <w:rPr>
                <w:rFonts w:ascii="AvenirNext-Regular" w:hAnsi="AvenirNext-Regular" w:cs="AvenirNext-Regular"/>
                <w:sz w:val="19"/>
                <w:szCs w:val="19"/>
              </w:rPr>
              <w:t>Secundaria, según sea el caso.</w:t>
            </w:r>
          </w:p>
        </w:tc>
        <w:tc>
          <w:tcPr>
            <w:tcW w:w="4677" w:type="dxa"/>
          </w:tcPr>
          <w:p w:rsidR="007F5B0A" w:rsidRPr="009F42F8"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9F42F8">
              <w:rPr>
                <w:rFonts w:ascii="Arial Narrow" w:hAnsi="Arial Narrow"/>
                <w:b/>
                <w:bCs/>
                <w:color w:val="FF0000"/>
                <w:sz w:val="24"/>
              </w:rPr>
              <w:t>OBJETIVO SUPERIOR:</w:t>
            </w:r>
          </w:p>
          <w:p w:rsidR="00B80990" w:rsidRPr="00B80990" w:rsidRDefault="00B80990" w:rsidP="00B80990">
            <w:pPr>
              <w:tabs>
                <w:tab w:val="left" w:pos="7380"/>
                <w:tab w:val="right" w:pos="9923"/>
              </w:tabs>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9"/>
                <w:szCs w:val="19"/>
              </w:rPr>
            </w:pPr>
            <w:r w:rsidRPr="00B80990">
              <w:rPr>
                <w:rFonts w:ascii="Arial Narrow" w:hAnsi="Arial Narrow" w:cs="Times New Roman"/>
                <w:sz w:val="19"/>
                <w:szCs w:val="19"/>
              </w:rPr>
              <w:t>El ordenamiento y regulación de la expansión física de los centros de población, atendiendo las demandas de obras, bienes y servicios que requiere el municipio, considerando también el ordenamiento y regulación de los espacios públicos para el catalogo de bienes municipales.</w:t>
            </w:r>
          </w:p>
          <w:p w:rsidR="00BD1E4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AB0372" w:rsidRDefault="00BD1E4A" w:rsidP="007F5B0A">
            <w:pPr>
              <w:jc w:val="both"/>
              <w:rPr>
                <w:rFonts w:ascii="Arial Narrow" w:hAnsi="Arial Narrow"/>
                <w:b w:val="0"/>
                <w:color w:val="FF0000"/>
                <w:sz w:val="24"/>
              </w:rPr>
            </w:pPr>
            <w:r w:rsidRPr="00AB0372">
              <w:rPr>
                <w:rFonts w:ascii="Arial Narrow" w:hAnsi="Arial Narrow"/>
                <w:b w:val="0"/>
                <w:color w:val="FF0000"/>
                <w:sz w:val="24"/>
              </w:rPr>
              <w:t>OBJETIVOS SECUNDARIOS:</w:t>
            </w:r>
          </w:p>
          <w:p w:rsidR="00AB0372" w:rsidRDefault="00AB0372" w:rsidP="00AB0372">
            <w:pPr>
              <w:autoSpaceDE w:val="0"/>
              <w:autoSpaceDN w:val="0"/>
              <w:adjustRightInd w:val="0"/>
              <w:rPr>
                <w:rFonts w:ascii="SoberanaSans-Bold" w:hAnsi="SoberanaSans-Bold" w:cs="SoberanaSans-Bold"/>
                <w:b w:val="0"/>
                <w:bCs w:val="0"/>
                <w:sz w:val="20"/>
                <w:szCs w:val="20"/>
              </w:rPr>
            </w:pPr>
            <w:r>
              <w:rPr>
                <w:rFonts w:ascii="SoberanaSans-Bold" w:hAnsi="SoberanaSans-Bold" w:cs="SoberanaSans-Bold"/>
                <w:b w:val="0"/>
                <w:bCs w:val="0"/>
                <w:sz w:val="20"/>
                <w:szCs w:val="20"/>
              </w:rPr>
              <w:t>Estrategia 2.5.1. Transitar hacia un Modelo de Desarrollo Urbano Sustentable e</w:t>
            </w:r>
          </w:p>
          <w:p w:rsidR="00BD1E4A" w:rsidRPr="00E80AF7" w:rsidRDefault="00AB0372" w:rsidP="00AB0372">
            <w:pPr>
              <w:jc w:val="both"/>
              <w:rPr>
                <w:rFonts w:ascii="Arial Narrow" w:hAnsi="Arial Narrow"/>
                <w:b w:val="0"/>
                <w:sz w:val="24"/>
                <w:highlight w:val="yellow"/>
              </w:rPr>
            </w:pPr>
            <w:r>
              <w:rPr>
                <w:rFonts w:ascii="SoberanaSans-Bold" w:hAnsi="SoberanaSans-Bold" w:cs="SoberanaSans-Bold"/>
                <w:b w:val="0"/>
                <w:bCs w:val="0"/>
                <w:sz w:val="20"/>
                <w:szCs w:val="20"/>
              </w:rPr>
              <w:t>Inteligente que procure vivienda digna para los mexicanos.</w:t>
            </w:r>
          </w:p>
        </w:tc>
        <w:tc>
          <w:tcPr>
            <w:tcW w:w="4678" w:type="dxa"/>
          </w:tcPr>
          <w:p w:rsidR="00BD1E4A" w:rsidRPr="009F42F8"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Regular" w:hAnsi="AvenirNext-Regular" w:cs="AvenirNext-Regular"/>
                <w:sz w:val="19"/>
                <w:szCs w:val="19"/>
              </w:rPr>
            </w:pPr>
            <w:r w:rsidRPr="009F42F8">
              <w:rPr>
                <w:rFonts w:ascii="AvenirNext-Regular" w:hAnsi="AvenirNext-Regular" w:cs="AvenirNext-Regular"/>
                <w:sz w:val="19"/>
                <w:szCs w:val="19"/>
              </w:rPr>
              <w:t>Existencia de distintas áreas metropolitanas y ciudades de importancia que permiten equilibrar</w:t>
            </w:r>
          </w:p>
          <w:p w:rsidR="00BD1E4A" w:rsidRPr="000F046F" w:rsidRDefault="009F42F8" w:rsidP="009F42F8">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9F42F8">
              <w:rPr>
                <w:rFonts w:ascii="AvenirNext-Regular" w:hAnsi="AvenirNext-Regular" w:cs="AvenirNext-Regular"/>
                <w:sz w:val="19"/>
                <w:szCs w:val="19"/>
              </w:rPr>
              <w:t>el crecimiento urbano del estado.</w:t>
            </w:r>
          </w:p>
        </w:tc>
        <w:tc>
          <w:tcPr>
            <w:tcW w:w="4677" w:type="dxa"/>
          </w:tcPr>
          <w:p w:rsidR="009F42F8" w:rsidRDefault="00BD1E4A" w:rsidP="009F42F8">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9F42F8">
              <w:rPr>
                <w:rFonts w:ascii="Arial Narrow" w:hAnsi="Arial Narrow"/>
                <w:bCs/>
                <w:color w:val="FF0000"/>
                <w:sz w:val="24"/>
              </w:rPr>
              <w:t>OBJETIVOS SECUNDARIOS:</w:t>
            </w:r>
          </w:p>
          <w:p w:rsidR="00BD1E4A" w:rsidRPr="00B80990" w:rsidRDefault="00B80990"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9"/>
                <w:szCs w:val="19"/>
                <w:highlight w:val="yellow"/>
                <w:lang w:val="es-ES"/>
              </w:rPr>
            </w:pPr>
            <w:r w:rsidRPr="00B80990">
              <w:rPr>
                <w:rFonts w:ascii="Arial Narrow" w:hAnsi="Arial Narrow"/>
                <w:sz w:val="19"/>
                <w:szCs w:val="19"/>
              </w:rPr>
              <w:t>Lograr una participación dinámica en el desarrollo urbano del municipio a través de la gestión y buena aplicación de las leyes regulatorias en la materia.</w:t>
            </w: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EB6757" w:rsidRDefault="00EB6757" w:rsidP="007F5B0A">
      <w:pPr>
        <w:spacing w:after="0"/>
        <w:jc w:val="both"/>
        <w:rPr>
          <w:rFonts w:ascii="Arial Narrow" w:hAnsi="Arial Narrow"/>
          <w:b/>
          <w:sz w:val="24"/>
        </w:rPr>
      </w:pP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w:t>
      </w:r>
      <w:r w:rsidR="0012766B">
        <w:rPr>
          <w:rFonts w:ascii="Arial Narrow" w:hAnsi="Arial Narrow"/>
          <w:sz w:val="24"/>
        </w:rPr>
        <w:t>eguimiento trimestral al PAT 2020</w:t>
      </w:r>
      <w:r w:rsidRPr="00BD1E4A">
        <w:rPr>
          <w:rFonts w:ascii="Arial Narrow" w:hAnsi="Arial Narrow"/>
          <w:sz w:val="24"/>
        </w:rPr>
        <w:t>, con el fin de observar el avance de los compromisos y realizar los ajustes necesarios</w:t>
      </w:r>
      <w:r>
        <w:rPr>
          <w:rFonts w:ascii="Arial Narrow" w:hAnsi="Arial Narrow"/>
          <w:sz w:val="24"/>
        </w:rPr>
        <w:t>.</w:t>
      </w:r>
    </w:p>
    <w:p w:rsidR="00EB6757" w:rsidRDefault="00EB6757" w:rsidP="007F5B0A">
      <w:pPr>
        <w:spacing w:after="0"/>
        <w:jc w:val="both"/>
        <w:rPr>
          <w:rFonts w:ascii="Arial Narrow" w:hAnsi="Arial Narrow"/>
          <w:sz w:val="24"/>
        </w:rPr>
      </w:pPr>
    </w:p>
    <w:p w:rsidR="008B3C1E" w:rsidRDefault="008B3C1E" w:rsidP="007F5B0A">
      <w:pPr>
        <w:spacing w:after="0"/>
        <w:jc w:val="both"/>
        <w:rPr>
          <w:rFonts w:ascii="Arial Narrow" w:hAnsi="Arial Narrow"/>
          <w:sz w:val="24"/>
        </w:rPr>
      </w:pPr>
    </w:p>
    <w:tbl>
      <w:tblPr>
        <w:tblStyle w:val="Tabladecuadrcula4-nfasis31"/>
        <w:tblW w:w="13648" w:type="dxa"/>
        <w:tblLook w:val="04A0" w:firstRow="1" w:lastRow="0" w:firstColumn="1" w:lastColumn="0" w:noHBand="0" w:noVBand="1"/>
      </w:tblPr>
      <w:tblGrid>
        <w:gridCol w:w="1262"/>
        <w:gridCol w:w="1248"/>
        <w:gridCol w:w="1106"/>
        <w:gridCol w:w="1098"/>
        <w:gridCol w:w="892"/>
        <w:gridCol w:w="7100"/>
        <w:gridCol w:w="942"/>
      </w:tblGrid>
      <w:tr w:rsidR="008B3C1E" w:rsidTr="00EB675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648" w:type="dxa"/>
            <w:gridSpan w:val="7"/>
          </w:tcPr>
          <w:p w:rsidR="008B3C1E" w:rsidRPr="00B85CA4" w:rsidRDefault="008B3C1E" w:rsidP="00EB6757">
            <w:pPr>
              <w:jc w:val="both"/>
              <w:rPr>
                <w:rFonts w:ascii="Arial Narrow" w:hAnsi="Arial Narrow"/>
                <w:sz w:val="24"/>
              </w:rPr>
            </w:pPr>
            <w:r w:rsidRPr="00B85CA4">
              <w:rPr>
                <w:rFonts w:ascii="Arial Narrow" w:hAnsi="Arial Narrow"/>
                <w:sz w:val="24"/>
              </w:rPr>
              <w:t xml:space="preserve">5.1 </w:t>
            </w:r>
            <w:r w:rsidR="00EB6757" w:rsidRPr="00EB6757">
              <w:rPr>
                <w:rFonts w:ascii="Arial Narrow" w:hAnsi="Arial Narrow"/>
                <w:sz w:val="24"/>
              </w:rPr>
              <w:t>COMUR (comisión municipal de regularización)</w:t>
            </w:r>
          </w:p>
        </w:tc>
      </w:tr>
      <w:tr w:rsidR="00526C5D" w:rsidTr="00EB6757">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266"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933"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8"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9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7268"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94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526C5D" w:rsidRPr="00915D01" w:rsidTr="00EB6757">
        <w:trPr>
          <w:trHeight w:val="381"/>
        </w:trPr>
        <w:tc>
          <w:tcPr>
            <w:cnfStyle w:val="001000000000" w:firstRow="0" w:lastRow="0" w:firstColumn="1" w:lastColumn="0" w:oddVBand="0" w:evenVBand="0" w:oddHBand="0" w:evenHBand="0" w:firstRowFirstColumn="0" w:firstRowLastColumn="0" w:lastRowFirstColumn="0" w:lastRowLastColumn="0"/>
            <w:tcW w:w="1266" w:type="dxa"/>
            <w:vMerge w:val="restart"/>
          </w:tcPr>
          <w:p w:rsidR="008B36C5" w:rsidRPr="008B36C5" w:rsidRDefault="008B36C5" w:rsidP="008B36C5">
            <w:pPr>
              <w:autoSpaceDE w:val="0"/>
              <w:autoSpaceDN w:val="0"/>
              <w:adjustRightInd w:val="0"/>
              <w:rPr>
                <w:rFonts w:ascii="Arial Narrow" w:hAnsi="Arial Narrow"/>
                <w:b w:val="0"/>
                <w:bCs w:val="0"/>
                <w:sz w:val="16"/>
                <w:szCs w:val="16"/>
              </w:rPr>
            </w:pPr>
            <w:r>
              <w:rPr>
                <w:rFonts w:ascii="Arial Narrow" w:hAnsi="Arial Narrow" w:cs="SoberanaSans-Bold"/>
                <w:b w:val="0"/>
                <w:bCs w:val="0"/>
                <w:sz w:val="16"/>
                <w:szCs w:val="16"/>
              </w:rPr>
              <w:t xml:space="preserve">Instruir una </w:t>
            </w:r>
            <w:r w:rsidRPr="008B36C5">
              <w:rPr>
                <w:rFonts w:ascii="Arial Narrow" w:hAnsi="Arial Narrow"/>
                <w:b w:val="0"/>
                <w:sz w:val="16"/>
                <w:szCs w:val="16"/>
              </w:rPr>
              <w:t xml:space="preserve">COMUR en el municipio de Gómez Farías, </w:t>
            </w:r>
            <w:r>
              <w:rPr>
                <w:rFonts w:ascii="Arial Narrow" w:hAnsi="Arial Narrow"/>
                <w:b w:val="0"/>
                <w:sz w:val="16"/>
                <w:szCs w:val="16"/>
              </w:rPr>
              <w:t>para cumpla</w:t>
            </w:r>
            <w:r w:rsidRPr="008B36C5">
              <w:rPr>
                <w:rFonts w:ascii="Arial Narrow" w:hAnsi="Arial Narrow"/>
                <w:b w:val="0"/>
                <w:sz w:val="16"/>
                <w:szCs w:val="16"/>
              </w:rPr>
              <w:t xml:space="preserve"> con la responsabilidad </w:t>
            </w:r>
            <w:r>
              <w:rPr>
                <w:rFonts w:ascii="Arial Narrow" w:hAnsi="Arial Narrow"/>
                <w:b w:val="0"/>
                <w:sz w:val="16"/>
                <w:szCs w:val="16"/>
              </w:rPr>
              <w:t xml:space="preserve">conforme a </w:t>
            </w:r>
            <w:r w:rsidRPr="008B36C5">
              <w:rPr>
                <w:rFonts w:ascii="Arial Narrow" w:hAnsi="Arial Narrow"/>
                <w:b w:val="0"/>
                <w:sz w:val="16"/>
                <w:szCs w:val="16"/>
              </w:rPr>
              <w:t xml:space="preserve"> la ley de </w:t>
            </w:r>
            <w:r w:rsidRPr="008B36C5">
              <w:rPr>
                <w:rFonts w:ascii="Arial Narrow" w:hAnsi="Arial Narrow" w:cs="Arial"/>
                <w:b w:val="0"/>
                <w:sz w:val="16"/>
                <w:szCs w:val="16"/>
              </w:rPr>
              <w:t>ley para la regularización y titulación de predios urbanos en el estado de Jalisco</w:t>
            </w:r>
          </w:p>
          <w:p w:rsidR="00526C5D" w:rsidRPr="00E80AF7" w:rsidRDefault="00526C5D" w:rsidP="00A05549">
            <w:pPr>
              <w:rPr>
                <w:rFonts w:ascii="Arial Narrow" w:hAnsi="Arial Narrow"/>
                <w:sz w:val="16"/>
                <w:highlight w:val="yellow"/>
              </w:rPr>
            </w:pPr>
          </w:p>
        </w:tc>
        <w:tc>
          <w:tcPr>
            <w:tcW w:w="1249" w:type="dxa"/>
            <w:vMerge w:val="restart"/>
          </w:tcPr>
          <w:p w:rsidR="00526C5D" w:rsidRPr="00A05549"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sidRPr="00A05549">
              <w:rPr>
                <w:rFonts w:ascii="Arial Narrow" w:hAnsi="Arial Narrow"/>
                <w:b/>
                <w:sz w:val="16"/>
              </w:rPr>
              <w:t>Acción específica 1</w:t>
            </w:r>
          </w:p>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highlight w:val="yellow"/>
              </w:rPr>
            </w:pPr>
          </w:p>
          <w:p w:rsidR="00526C5D" w:rsidRPr="00A05549" w:rsidRDefault="00A05549" w:rsidP="008B36C5">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highlight w:val="yellow"/>
              </w:rPr>
            </w:pPr>
            <w:r w:rsidRPr="00A05549">
              <w:rPr>
                <w:rFonts w:ascii="Arial Narrow" w:hAnsi="Arial Narrow" w:cs="Times New Roman"/>
                <w:sz w:val="16"/>
                <w:szCs w:val="16"/>
              </w:rPr>
              <w:t xml:space="preserve">El ordenamiento y regulación de </w:t>
            </w:r>
            <w:r w:rsidR="008B36C5">
              <w:rPr>
                <w:rFonts w:ascii="Arial Narrow" w:hAnsi="Arial Narrow" w:cs="Times New Roman"/>
                <w:sz w:val="16"/>
                <w:szCs w:val="16"/>
              </w:rPr>
              <w:t xml:space="preserve"> de los asentamientos humanos irregulares y fraccionamientos en </w:t>
            </w:r>
            <w:r w:rsidRPr="00A05549">
              <w:rPr>
                <w:rFonts w:ascii="Arial Narrow" w:hAnsi="Arial Narrow" w:cs="Times New Roman"/>
                <w:sz w:val="16"/>
                <w:szCs w:val="16"/>
              </w:rPr>
              <w:t>el municipio</w:t>
            </w:r>
          </w:p>
        </w:tc>
        <w:tc>
          <w:tcPr>
            <w:tcW w:w="933" w:type="dxa"/>
            <w:vMerge w:val="restart"/>
          </w:tcPr>
          <w:p w:rsidR="00EB1BEE" w:rsidRDefault="00EB1BEE" w:rsidP="00A05549">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EB1BEE" w:rsidRDefault="00EB1BEE" w:rsidP="00A05549">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526C5D" w:rsidRPr="00E80AF7" w:rsidRDefault="00EB1BEE" w:rsidP="00EB1BEE">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Pr>
                <w:rFonts w:ascii="Arial Narrow" w:hAnsi="Arial Narrow"/>
                <w:sz w:val="16"/>
              </w:rPr>
              <w:t xml:space="preserve">brindar </w:t>
            </w:r>
            <w:r w:rsidR="00A05549">
              <w:rPr>
                <w:rFonts w:ascii="Arial Narrow" w:hAnsi="Arial Narrow"/>
                <w:sz w:val="16"/>
              </w:rPr>
              <w:t>asesorías, revisión y autorización</w:t>
            </w:r>
            <w:r>
              <w:rPr>
                <w:rFonts w:ascii="Arial Narrow" w:hAnsi="Arial Narrow"/>
                <w:sz w:val="16"/>
              </w:rPr>
              <w:t xml:space="preserve"> de procedimientos </w:t>
            </w:r>
            <w:r w:rsidR="008B36C5">
              <w:rPr>
                <w:rFonts w:ascii="Arial Narrow" w:hAnsi="Arial Narrow"/>
                <w:sz w:val="16"/>
              </w:rPr>
              <w:t xml:space="preserve"> mediante la COMUR.</w:t>
            </w:r>
          </w:p>
        </w:tc>
        <w:tc>
          <w:tcPr>
            <w:tcW w:w="1098" w:type="dxa"/>
            <w:vMerge w:val="restart"/>
          </w:tcPr>
          <w:p w:rsidR="00526C5D" w:rsidRPr="00E80AF7"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Meta: NA* Periodicidad: Trimestral.</w:t>
            </w:r>
          </w:p>
        </w:tc>
        <w:tc>
          <w:tcPr>
            <w:tcW w:w="892"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1</w:t>
            </w:r>
          </w:p>
        </w:tc>
        <w:tc>
          <w:tcPr>
            <w:tcW w:w="7268" w:type="dxa"/>
          </w:tcPr>
          <w:p w:rsidR="00526C5D" w:rsidRPr="00E80AF7" w:rsidRDefault="00526C5D" w:rsidP="00A0554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sidR="00A05549">
              <w:rPr>
                <w:rFonts w:ascii="Arial Narrow" w:hAnsi="Arial Narrow"/>
                <w:sz w:val="16"/>
              </w:rPr>
              <w:t xml:space="preserve"> soli</w:t>
            </w:r>
            <w:r w:rsidR="008B36C5">
              <w:rPr>
                <w:rFonts w:ascii="Arial Narrow" w:hAnsi="Arial Narrow"/>
                <w:sz w:val="16"/>
              </w:rPr>
              <w:t xml:space="preserve">citudes de regularización y titulación de acciones </w:t>
            </w:r>
            <w:r w:rsidR="00A05549">
              <w:rPr>
                <w:rFonts w:ascii="Arial Narrow" w:hAnsi="Arial Narrow"/>
                <w:sz w:val="16"/>
              </w:rPr>
              <w:t xml:space="preserve"> en la jurisdicción del municipio de Gómez Farías, asesorar y garantizar </w:t>
            </w:r>
            <w:r w:rsidR="00A05549">
              <w:rPr>
                <w:rFonts w:ascii="Arial Narrow" w:hAnsi="Arial Narrow" w:cs="Times New Roman"/>
                <w:sz w:val="16"/>
                <w:szCs w:val="16"/>
              </w:rPr>
              <w:t>e</w:t>
            </w:r>
            <w:r w:rsidR="00A05549" w:rsidRPr="00A05549">
              <w:rPr>
                <w:rFonts w:ascii="Arial Narrow" w:hAnsi="Arial Narrow" w:cs="Times New Roman"/>
                <w:sz w:val="16"/>
                <w:szCs w:val="16"/>
              </w:rPr>
              <w:t>l ordenamiento y regulación de la expansión física de los centros de población</w:t>
            </w:r>
            <w:r w:rsidR="00A05549">
              <w:rPr>
                <w:rFonts w:ascii="Arial Narrow" w:hAnsi="Arial Narrow"/>
                <w:sz w:val="16"/>
              </w:rPr>
              <w:t>.</w:t>
            </w:r>
          </w:p>
        </w:tc>
        <w:tc>
          <w:tcPr>
            <w:tcW w:w="942" w:type="dxa"/>
          </w:tcPr>
          <w:p w:rsidR="00526C5D" w:rsidRPr="00E80AF7" w:rsidRDefault="00526C5D" w:rsidP="00A0554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sidR="00075288">
              <w:rPr>
                <w:rFonts w:ascii="Arial Narrow" w:hAnsi="Arial Narrow"/>
                <w:sz w:val="16"/>
              </w:rPr>
              <w:t>técnicos.</w:t>
            </w:r>
          </w:p>
        </w:tc>
      </w:tr>
      <w:tr w:rsidR="00526C5D" w:rsidTr="00EB6757">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7F5B0A">
            <w:pPr>
              <w:jc w:val="both"/>
              <w:rPr>
                <w:rFonts w:ascii="Arial Narrow" w:hAnsi="Arial Narrow"/>
                <w:sz w:val="24"/>
                <w:highlight w:val="yellow"/>
              </w:rPr>
            </w:pPr>
          </w:p>
        </w:tc>
        <w:tc>
          <w:tcPr>
            <w:tcW w:w="1249"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933"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8"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92"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7268" w:type="dxa"/>
          </w:tcPr>
          <w:p w:rsidR="00526C5D" w:rsidRPr="00E80AF7" w:rsidRDefault="00526C5D" w:rsidP="00A0554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sidR="00A05549">
              <w:rPr>
                <w:rFonts w:ascii="Arial Narrow" w:hAnsi="Arial Narrow"/>
                <w:sz w:val="16"/>
              </w:rPr>
              <w:t xml:space="preserve"> técnicos de cada acción urbanística recibida dándole el seguimiento correcto para hacer cumplir las normat</w:t>
            </w:r>
            <w:r w:rsidR="008B36C5">
              <w:rPr>
                <w:rFonts w:ascii="Arial Narrow" w:hAnsi="Arial Narrow"/>
                <w:sz w:val="16"/>
              </w:rPr>
              <w:t>ividades establecidas en la COMUR</w:t>
            </w:r>
            <w:r w:rsidR="00A05549">
              <w:rPr>
                <w:rFonts w:ascii="Arial Narrow" w:hAnsi="Arial Narrow"/>
                <w:sz w:val="16"/>
              </w:rPr>
              <w:t>.</w:t>
            </w:r>
          </w:p>
        </w:tc>
        <w:tc>
          <w:tcPr>
            <w:tcW w:w="942" w:type="dxa"/>
          </w:tcPr>
          <w:p w:rsidR="00526C5D" w:rsidRPr="00E80AF7" w:rsidRDefault="00075288"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2"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2</w:t>
            </w:r>
          </w:p>
        </w:tc>
        <w:tc>
          <w:tcPr>
            <w:tcW w:w="7268" w:type="dxa"/>
          </w:tcPr>
          <w:p w:rsidR="00526C5D" w:rsidRPr="00E80AF7" w:rsidRDefault="00AC0AC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2"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68" w:type="dxa"/>
          </w:tcPr>
          <w:p w:rsidR="00526C5D" w:rsidRPr="00E80AF7" w:rsidRDefault="00AC0AC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2" w:type="dxa"/>
            <w:vMerge w:val="restart"/>
            <w:vAlign w:val="center"/>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3</w:t>
            </w:r>
          </w:p>
        </w:tc>
        <w:tc>
          <w:tcPr>
            <w:tcW w:w="7268" w:type="dxa"/>
          </w:tcPr>
          <w:p w:rsidR="00526C5D" w:rsidRPr="00E80AF7" w:rsidRDefault="00AC0AC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2"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68" w:type="dxa"/>
          </w:tcPr>
          <w:p w:rsidR="00526C5D" w:rsidRPr="00E80AF7" w:rsidRDefault="00AC0AC4"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526C5D">
            <w:pPr>
              <w:jc w:val="center"/>
              <w:rPr>
                <w:rFonts w:ascii="Arial Narrow" w:hAnsi="Arial Narrow"/>
                <w:sz w:val="16"/>
                <w:highlight w:val="yellow"/>
              </w:rPr>
            </w:pPr>
          </w:p>
        </w:tc>
        <w:tc>
          <w:tcPr>
            <w:tcW w:w="1249"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92" w:type="dxa"/>
            <w:vMerge w:val="restart"/>
            <w:vAlign w:val="center"/>
          </w:tcPr>
          <w:p w:rsidR="00526C5D" w:rsidRPr="00E80AF7" w:rsidRDefault="00526C5D"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075288">
              <w:rPr>
                <w:rFonts w:ascii="Arial Narrow" w:hAnsi="Arial Narrow"/>
                <w:sz w:val="16"/>
              </w:rPr>
              <w:t>4</w:t>
            </w:r>
          </w:p>
        </w:tc>
        <w:tc>
          <w:tcPr>
            <w:tcW w:w="7268" w:type="dxa"/>
          </w:tcPr>
          <w:p w:rsidR="00526C5D" w:rsidRPr="00E80AF7" w:rsidRDefault="00AC0AC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66" w:type="dxa"/>
            <w:vMerge/>
          </w:tcPr>
          <w:p w:rsidR="00526C5D" w:rsidRPr="00E80AF7" w:rsidRDefault="00526C5D" w:rsidP="00526C5D">
            <w:pPr>
              <w:jc w:val="center"/>
              <w:rPr>
                <w:rFonts w:ascii="Arial Narrow" w:hAnsi="Arial Narrow"/>
                <w:sz w:val="16"/>
                <w:highlight w:val="yellow"/>
              </w:rPr>
            </w:pPr>
          </w:p>
        </w:tc>
        <w:tc>
          <w:tcPr>
            <w:tcW w:w="1249"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933"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8"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92" w:type="dxa"/>
            <w:vMerge/>
          </w:tcPr>
          <w:p w:rsidR="00526C5D" w:rsidRPr="00E80AF7" w:rsidRDefault="00526C5D"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7268" w:type="dxa"/>
          </w:tcPr>
          <w:p w:rsidR="00526C5D" w:rsidRPr="00E80AF7" w:rsidRDefault="00AC0AC4"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12766B"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2020</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075288" w:rsidRPr="00075288" w:rsidRDefault="00075288" w:rsidP="00075288">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Cumplir y cubrir las necesidades prioritarias de la población contribuyendo con las normativas de</w:t>
            </w:r>
            <w:r w:rsidR="00AC0AC4">
              <w:rPr>
                <w:rFonts w:ascii="Arial Narrow" w:hAnsi="Arial Narrow"/>
                <w:sz w:val="16"/>
                <w:szCs w:val="16"/>
              </w:rPr>
              <w:t xml:space="preserve"> la COMUR</w:t>
            </w:r>
            <w:r w:rsidRPr="00075288">
              <w:rPr>
                <w:rFonts w:ascii="Arial Narrow" w:hAnsi="Arial Narrow"/>
                <w:sz w:val="16"/>
                <w:szCs w:val="16"/>
              </w:rPr>
              <w:t>, visionarias de una manera activa que se traduzca en la mejora de la calidad de vida de los habitantes del municipio.</w:t>
            </w:r>
          </w:p>
          <w:p w:rsidR="003B76D6" w:rsidRPr="00E80AF7" w:rsidRDefault="003B76D6"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p>
        </w:tc>
        <w:tc>
          <w:tcPr>
            <w:tcW w:w="5386" w:type="dxa"/>
          </w:tcPr>
          <w:p w:rsidR="003B76D6" w:rsidRPr="00E80AF7" w:rsidRDefault="00075288" w:rsidP="00AC0AC4">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 xml:space="preserve">l ordenamiento y regulación de </w:t>
            </w:r>
            <w:r w:rsidR="00AC0AC4">
              <w:rPr>
                <w:rFonts w:ascii="Arial Narrow" w:hAnsi="Arial Narrow" w:cs="Times New Roman"/>
                <w:sz w:val="16"/>
                <w:szCs w:val="16"/>
              </w:rPr>
              <w:t>las acciones para la regularización y titulación de predios urbanos y espacios públicos</w:t>
            </w:r>
            <w:r>
              <w:rPr>
                <w:rFonts w:ascii="Arial Narrow" w:hAnsi="Arial Narrow"/>
                <w:sz w:val="16"/>
              </w:rPr>
              <w:t>.</w:t>
            </w:r>
          </w:p>
        </w:tc>
        <w:tc>
          <w:tcPr>
            <w:tcW w:w="1701" w:type="dxa"/>
          </w:tcPr>
          <w:p w:rsidR="003B76D6" w:rsidRPr="00E80AF7" w:rsidRDefault="005B5673"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highlight w:val="yellow"/>
              </w:rPr>
            </w:pPr>
            <w:r>
              <w:rPr>
                <w:rFonts w:ascii="Arial Narrow" w:hAnsi="Arial Narrow"/>
                <w:sz w:val="16"/>
                <w:szCs w:val="24"/>
              </w:rPr>
              <w:t>5</w:t>
            </w:r>
            <w:r w:rsidR="003B76D6" w:rsidRPr="00075288">
              <w:rPr>
                <w:rFonts w:ascii="Arial Narrow" w:hAnsi="Arial Narrow"/>
                <w:sz w:val="16"/>
                <w:szCs w:val="24"/>
              </w:rPr>
              <w:t>.00</w:t>
            </w:r>
          </w:p>
        </w:tc>
        <w:bookmarkStart w:id="0" w:name="_GoBack"/>
        <w:bookmarkEnd w:id="0"/>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075288" w:rsidRPr="00075288" w:rsidRDefault="00075288" w:rsidP="00075288">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Lograr una coordinación con los demás departamentos para la creación de un equipo al servicio de la ciudadanía y garantizar con eficiencia y eficacia las tareas a cumplir para el municipio.</w:t>
            </w:r>
          </w:p>
          <w:p w:rsidR="003B76D6" w:rsidRPr="00075288" w:rsidRDefault="003B76D6" w:rsidP="00A322A9">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lang w:val="es-ES"/>
              </w:rPr>
            </w:pPr>
          </w:p>
        </w:tc>
        <w:tc>
          <w:tcPr>
            <w:tcW w:w="5386" w:type="dxa"/>
          </w:tcPr>
          <w:p w:rsidR="00075288" w:rsidRPr="00075288" w:rsidRDefault="00075288" w:rsidP="00075288">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Fomentar la participación ciudadana mediante la solicitud de obras prioritarias que ataque el rezago social y a</w:t>
            </w:r>
            <w:r w:rsidR="00AC0AC4">
              <w:rPr>
                <w:rFonts w:ascii="Arial Narrow" w:hAnsi="Arial Narrow"/>
                <w:sz w:val="16"/>
                <w:szCs w:val="16"/>
              </w:rPr>
              <w:t>sentamiento humanos irregulares, así como actualizar al catalogo municipal de espacios públicos como patrimonio municipal</w:t>
            </w:r>
          </w:p>
          <w:p w:rsidR="003B76D6" w:rsidRPr="00075288"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highlight w:val="yellow"/>
                <w:lang w:val="es-ES"/>
              </w:rPr>
            </w:pPr>
          </w:p>
        </w:tc>
        <w:tc>
          <w:tcPr>
            <w:tcW w:w="1701" w:type="dxa"/>
          </w:tcPr>
          <w:p w:rsidR="003B76D6" w:rsidRPr="005B5673" w:rsidRDefault="005B567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075288" w:rsidRPr="00075288" w:rsidRDefault="00075288" w:rsidP="00075288">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075288">
              <w:rPr>
                <w:rFonts w:ascii="Arial Narrow" w:hAnsi="Arial Narrow"/>
                <w:sz w:val="16"/>
                <w:szCs w:val="16"/>
              </w:rPr>
              <w:t>Implementar programas de estrategias para la regularización de fraccionamientos o asentamientos irregulares.</w:t>
            </w:r>
          </w:p>
          <w:p w:rsidR="003B76D6" w:rsidRPr="000752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lang w:val="es-ES"/>
              </w:rPr>
            </w:pPr>
          </w:p>
        </w:tc>
        <w:tc>
          <w:tcPr>
            <w:tcW w:w="5386" w:type="dxa"/>
          </w:tcPr>
          <w:p w:rsidR="00075288" w:rsidRPr="00075288" w:rsidRDefault="005B5673" w:rsidP="00075288">
            <w:pPr>
              <w:pStyle w:val="NormalWeb"/>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w:t>
            </w:r>
            <w:r w:rsidR="00075288" w:rsidRPr="00075288">
              <w:rPr>
                <w:rFonts w:ascii="Arial Narrow" w:hAnsi="Arial Narrow"/>
                <w:sz w:val="16"/>
                <w:szCs w:val="16"/>
              </w:rPr>
              <w:t xml:space="preserve"> ciudadana mediante la solicitud de </w:t>
            </w:r>
            <w:r w:rsidR="00AC0AC4">
              <w:rPr>
                <w:rFonts w:ascii="Arial Narrow" w:hAnsi="Arial Narrow"/>
                <w:sz w:val="16"/>
                <w:szCs w:val="16"/>
              </w:rPr>
              <w:t xml:space="preserve">acciones de regularización y titulación </w:t>
            </w:r>
            <w:r w:rsidR="00075288">
              <w:rPr>
                <w:rFonts w:ascii="Arial Narrow" w:hAnsi="Arial Narrow"/>
                <w:sz w:val="16"/>
                <w:szCs w:val="16"/>
              </w:rPr>
              <w:t xml:space="preserve">que ataque el rezago de </w:t>
            </w:r>
            <w:r w:rsidR="00075288" w:rsidRPr="00075288">
              <w:rPr>
                <w:rFonts w:ascii="Arial Narrow" w:hAnsi="Arial Narrow"/>
                <w:sz w:val="16"/>
                <w:szCs w:val="16"/>
              </w:rPr>
              <w:t xml:space="preserve"> asentamiento humanos irregu</w:t>
            </w:r>
            <w:r w:rsidR="00075288">
              <w:rPr>
                <w:rFonts w:ascii="Arial Narrow" w:hAnsi="Arial Narrow"/>
                <w:sz w:val="16"/>
                <w:szCs w:val="16"/>
              </w:rPr>
              <w:t>lares y a</w:t>
            </w:r>
            <w:r w:rsidR="00AC0AC4">
              <w:rPr>
                <w:rFonts w:ascii="Arial Narrow" w:hAnsi="Arial Narrow"/>
                <w:sz w:val="16"/>
                <w:szCs w:val="16"/>
              </w:rPr>
              <w:t>cciones urbanísticas.</w:t>
            </w:r>
          </w:p>
          <w:p w:rsidR="003B76D6" w:rsidRPr="0007528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highlight w:val="yellow"/>
                <w:lang w:val="es-ES"/>
              </w:rPr>
            </w:pPr>
          </w:p>
        </w:tc>
        <w:tc>
          <w:tcPr>
            <w:tcW w:w="1701" w:type="dxa"/>
          </w:tcPr>
          <w:p w:rsidR="003B76D6" w:rsidRPr="005B5673" w:rsidRDefault="005B5673"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3B76D6" w:rsidRPr="00E80AF7" w:rsidRDefault="00EB1BEE" w:rsidP="00AC0A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rPr>
            </w:pPr>
            <w:r>
              <w:rPr>
                <w:rFonts w:ascii="Arial Narrow" w:hAnsi="Arial Narrow" w:cstheme="minorHAnsi"/>
                <w:sz w:val="16"/>
                <w:szCs w:val="16"/>
              </w:rPr>
              <w:t xml:space="preserve">Impulsar la </w:t>
            </w:r>
            <w:r w:rsidR="00AC0AC4">
              <w:rPr>
                <w:rFonts w:ascii="Arial Narrow" w:hAnsi="Arial Narrow" w:cstheme="minorHAnsi"/>
                <w:sz w:val="16"/>
                <w:szCs w:val="16"/>
              </w:rPr>
              <w:t>Regularización y titulación de espacios públicos municipales.</w:t>
            </w:r>
          </w:p>
        </w:tc>
        <w:tc>
          <w:tcPr>
            <w:tcW w:w="5386" w:type="dxa"/>
          </w:tcPr>
          <w:p w:rsidR="005B5673" w:rsidRPr="00075288" w:rsidRDefault="005B5673" w:rsidP="005B5673">
            <w:pPr>
              <w:pStyle w:val="NormalWeb"/>
              <w:spacing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Pr>
                <w:rFonts w:ascii="Arial Narrow" w:hAnsi="Arial Narrow"/>
                <w:sz w:val="16"/>
                <w:szCs w:val="16"/>
              </w:rPr>
              <w:t xml:space="preserve">Porcentaje de </w:t>
            </w:r>
            <w:r w:rsidR="00AC0AC4">
              <w:rPr>
                <w:rFonts w:ascii="Arial Narrow" w:hAnsi="Arial Narrow"/>
                <w:sz w:val="16"/>
                <w:szCs w:val="16"/>
              </w:rPr>
              <w:t xml:space="preserve">Participación municipal mediante la solicitud de regularización y titulación conforme al catálogo municipal de bienes inmuebles </w:t>
            </w:r>
            <w:r>
              <w:rPr>
                <w:rFonts w:ascii="Arial Narrow" w:hAnsi="Arial Narrow"/>
                <w:sz w:val="16"/>
                <w:szCs w:val="16"/>
              </w:rPr>
              <w:t xml:space="preserve"> para una solución visionaria del municipio.</w:t>
            </w:r>
          </w:p>
          <w:p w:rsidR="003B76D6" w:rsidRPr="005B5673"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highlight w:val="yellow"/>
                <w:lang w:val="es-ES"/>
              </w:rPr>
            </w:pPr>
          </w:p>
        </w:tc>
        <w:tc>
          <w:tcPr>
            <w:tcW w:w="1701" w:type="dxa"/>
          </w:tcPr>
          <w:p w:rsidR="003B76D6" w:rsidRPr="005B5673" w:rsidRDefault="005B5673"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85.00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5B5673" w:rsidRDefault="007C648E" w:rsidP="007C648E">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highlight w:val="yellow"/>
              </w:rPr>
            </w:pPr>
            <w:r>
              <w:rPr>
                <w:rFonts w:ascii="Arial Narrow" w:hAnsi="Arial Narrow" w:cstheme="minorHAnsi"/>
                <w:sz w:val="16"/>
                <w:szCs w:val="16"/>
              </w:rPr>
              <w:t xml:space="preserve">Consolidar la COMUR </w:t>
            </w:r>
            <w:r w:rsidR="005B5673" w:rsidRPr="005B5673">
              <w:rPr>
                <w:rFonts w:ascii="Arial Narrow" w:hAnsi="Arial Narrow" w:cstheme="minorHAnsi"/>
                <w:sz w:val="16"/>
                <w:szCs w:val="16"/>
              </w:rPr>
              <w:t xml:space="preserve">de tal forma que </w:t>
            </w:r>
            <w:r>
              <w:rPr>
                <w:rFonts w:ascii="Arial Narrow" w:hAnsi="Arial Narrow" w:cstheme="minorHAnsi"/>
                <w:sz w:val="16"/>
                <w:szCs w:val="16"/>
              </w:rPr>
              <w:t xml:space="preserve">garantice  el crecimiento armónico del centro de población, </w:t>
            </w:r>
            <w:r w:rsidR="005B5673" w:rsidRPr="005B5673">
              <w:rPr>
                <w:rFonts w:ascii="Arial Narrow" w:hAnsi="Arial Narrow" w:cstheme="minorHAnsi"/>
                <w:sz w:val="16"/>
                <w:szCs w:val="16"/>
              </w:rPr>
              <w:t>facilite el control del desarrollo urbano</w:t>
            </w:r>
            <w:r>
              <w:rPr>
                <w:rFonts w:ascii="Arial Narrow" w:hAnsi="Arial Narrow" w:cstheme="minorHAnsi"/>
                <w:sz w:val="16"/>
                <w:szCs w:val="16"/>
              </w:rPr>
              <w:t xml:space="preserve"> y contribuya a mejorar la calidad de vida de los ciudadanos.</w:t>
            </w:r>
          </w:p>
        </w:tc>
        <w:tc>
          <w:tcPr>
            <w:tcW w:w="5386" w:type="dxa"/>
          </w:tcPr>
          <w:p w:rsidR="005B5673" w:rsidRPr="005B5673" w:rsidRDefault="00FC65C1" w:rsidP="005B56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Pr>
                <w:rFonts w:ascii="Arial Narrow" w:hAnsi="Arial Narrow" w:cstheme="minorHAnsi"/>
                <w:sz w:val="16"/>
                <w:szCs w:val="16"/>
              </w:rPr>
              <w:t xml:space="preserve">La promoción de las acciones de regularización y titulación  </w:t>
            </w:r>
            <w:r w:rsidR="005B5673" w:rsidRPr="005B5673">
              <w:rPr>
                <w:rFonts w:ascii="Arial Narrow" w:hAnsi="Arial Narrow" w:cstheme="minorHAnsi"/>
                <w:sz w:val="16"/>
                <w:szCs w:val="16"/>
              </w:rPr>
              <w:t xml:space="preserve"> </w:t>
            </w:r>
            <w:r>
              <w:rPr>
                <w:rFonts w:ascii="Arial Narrow" w:hAnsi="Arial Narrow" w:cstheme="minorHAnsi"/>
                <w:sz w:val="16"/>
                <w:szCs w:val="16"/>
              </w:rPr>
              <w:t xml:space="preserve">en el municipio de </w:t>
            </w:r>
            <w:r w:rsidR="00EB6757">
              <w:rPr>
                <w:rFonts w:ascii="Arial Narrow" w:hAnsi="Arial Narrow" w:cstheme="minorHAnsi"/>
                <w:sz w:val="16"/>
                <w:szCs w:val="16"/>
              </w:rPr>
              <w:t>Gómez</w:t>
            </w:r>
            <w:r>
              <w:rPr>
                <w:rFonts w:ascii="Arial Narrow" w:hAnsi="Arial Narrow" w:cstheme="minorHAnsi"/>
                <w:sz w:val="16"/>
                <w:szCs w:val="16"/>
              </w:rPr>
              <w:t xml:space="preserve"> </w:t>
            </w:r>
            <w:r w:rsidR="00EB6757">
              <w:rPr>
                <w:rFonts w:ascii="Arial Narrow" w:hAnsi="Arial Narrow" w:cstheme="minorHAnsi"/>
                <w:sz w:val="16"/>
                <w:szCs w:val="16"/>
              </w:rPr>
              <w:t>Farías</w:t>
            </w:r>
            <w:r>
              <w:rPr>
                <w:rFonts w:ascii="Arial Narrow" w:hAnsi="Arial Narrow" w:cstheme="minorHAnsi"/>
                <w:sz w:val="16"/>
                <w:szCs w:val="16"/>
              </w:rPr>
              <w:t xml:space="preserve">, </w:t>
            </w:r>
            <w:r w:rsidR="005B5673" w:rsidRPr="005B5673">
              <w:rPr>
                <w:rFonts w:ascii="Arial Narrow" w:hAnsi="Arial Narrow" w:cstheme="minorHAnsi"/>
                <w:sz w:val="16"/>
                <w:szCs w:val="16"/>
              </w:rPr>
              <w:t>para fortalecer un ordenamiento sensible al centro de población.</w:t>
            </w:r>
          </w:p>
          <w:p w:rsidR="003B76D6" w:rsidRPr="00E80AF7"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highlight w:val="yellow"/>
              </w:rPr>
            </w:pPr>
          </w:p>
        </w:tc>
        <w:tc>
          <w:tcPr>
            <w:tcW w:w="1701" w:type="dxa"/>
          </w:tcPr>
          <w:p w:rsidR="003B76D6" w:rsidRPr="005B5673" w:rsidRDefault="00B85CA4"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5B5673">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8A" w:rsidRDefault="0025488A" w:rsidP="00236142">
      <w:pPr>
        <w:spacing w:after="0" w:line="240" w:lineRule="auto"/>
      </w:pPr>
      <w:r>
        <w:separator/>
      </w:r>
    </w:p>
  </w:endnote>
  <w:endnote w:type="continuationSeparator" w:id="0">
    <w:p w:rsidR="0025488A" w:rsidRDefault="0025488A"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8A" w:rsidRDefault="0025488A" w:rsidP="00236142">
      <w:pPr>
        <w:spacing w:after="0" w:line="240" w:lineRule="auto"/>
      </w:pPr>
      <w:r>
        <w:separator/>
      </w:r>
    </w:p>
  </w:footnote>
  <w:footnote w:type="continuationSeparator" w:id="0">
    <w:p w:rsidR="0025488A" w:rsidRDefault="0025488A"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42" w:rsidRPr="00236142" w:rsidRDefault="00236142" w:rsidP="00236142">
    <w:pPr>
      <w:pStyle w:val="Encabezado"/>
      <w:jc w:val="center"/>
      <w:rPr>
        <w:rFonts w:ascii="Arial Narrow" w:hAnsi="Arial Narrow"/>
        <w:b/>
        <w:sz w:val="28"/>
      </w:rPr>
    </w:pPr>
    <w:r>
      <w:rPr>
        <w:rFonts w:ascii="Arial Narrow" w:hAnsi="Arial Narrow"/>
        <w:b/>
        <w:noProof/>
        <w:sz w:val="28"/>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12766B">
      <w:rPr>
        <w:rFonts w:ascii="Arial Narrow" w:hAnsi="Arial Narrow"/>
        <w:b/>
        <w:sz w:val="28"/>
      </w:rPr>
      <w:t>ANUAL DE TRABAJO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F3"/>
    <w:multiLevelType w:val="hybridMultilevel"/>
    <w:tmpl w:val="D88620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6A3BEB"/>
    <w:multiLevelType w:val="hybridMultilevel"/>
    <w:tmpl w:val="73FE7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D0AC7"/>
    <w:multiLevelType w:val="hybridMultilevel"/>
    <w:tmpl w:val="8E0AB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84262F"/>
    <w:multiLevelType w:val="hybridMultilevel"/>
    <w:tmpl w:val="2BB89E5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36142"/>
    <w:rsid w:val="0006191F"/>
    <w:rsid w:val="00075288"/>
    <w:rsid w:val="000F046F"/>
    <w:rsid w:val="0012766B"/>
    <w:rsid w:val="001D4962"/>
    <w:rsid w:val="00236142"/>
    <w:rsid w:val="0025488A"/>
    <w:rsid w:val="002C46B8"/>
    <w:rsid w:val="00375C68"/>
    <w:rsid w:val="003B76D6"/>
    <w:rsid w:val="004F283C"/>
    <w:rsid w:val="00526C5D"/>
    <w:rsid w:val="005B5673"/>
    <w:rsid w:val="00683AE0"/>
    <w:rsid w:val="006D45AB"/>
    <w:rsid w:val="007C648E"/>
    <w:rsid w:val="007D5492"/>
    <w:rsid w:val="007F5B0A"/>
    <w:rsid w:val="00847B8D"/>
    <w:rsid w:val="00857AD7"/>
    <w:rsid w:val="008B36C5"/>
    <w:rsid w:val="008B3C1E"/>
    <w:rsid w:val="008F4769"/>
    <w:rsid w:val="00915D01"/>
    <w:rsid w:val="009E671C"/>
    <w:rsid w:val="009F42F8"/>
    <w:rsid w:val="00A05549"/>
    <w:rsid w:val="00A322A9"/>
    <w:rsid w:val="00A7165A"/>
    <w:rsid w:val="00AB0372"/>
    <w:rsid w:val="00AC0AC4"/>
    <w:rsid w:val="00B128C6"/>
    <w:rsid w:val="00B24E0B"/>
    <w:rsid w:val="00B80990"/>
    <w:rsid w:val="00B85CA4"/>
    <w:rsid w:val="00BD1E4A"/>
    <w:rsid w:val="00DE17AF"/>
    <w:rsid w:val="00E80AF7"/>
    <w:rsid w:val="00EB1BEE"/>
    <w:rsid w:val="00EB6757"/>
    <w:rsid w:val="00F24A3A"/>
    <w:rsid w:val="00F92B9A"/>
    <w:rsid w:val="00FC6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CE0226"/>
  <w15:docId w15:val="{5B6123BF-2DD6-4032-8024-CDB41394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F42F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Pages>
  <Words>1138</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2018-11-26T05:20:00Z</dcterms:created>
  <dcterms:modified xsi:type="dcterms:W3CDTF">2021-03-18T20:54:00Z</dcterms:modified>
</cp:coreProperties>
</file>