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9A" w:rsidRDefault="00106E07" w:rsidP="0023614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CATASTRO</w:t>
      </w:r>
    </w:p>
    <w:p w:rsidR="00236142" w:rsidRDefault="00236142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:rsidR="00236142" w:rsidRDefault="007F5B0A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1. </w:t>
      </w:r>
      <w:r w:rsidR="00236142">
        <w:rPr>
          <w:rFonts w:ascii="Arial Narrow" w:hAnsi="Arial Narrow"/>
          <w:b/>
          <w:sz w:val="24"/>
        </w:rPr>
        <w:t>INTRODUCCION:</w:t>
      </w:r>
    </w:p>
    <w:p w:rsidR="00106E07" w:rsidRDefault="00106E07" w:rsidP="00106E07">
      <w:pPr>
        <w:pStyle w:val="Textoindependiente"/>
        <w:ind w:firstLine="709"/>
        <w:jc w:val="both"/>
        <w:rPr>
          <w:rFonts w:ascii="Arial" w:hAnsi="Arial" w:cs="Arial"/>
          <w:b w:val="0"/>
          <w:sz w:val="24"/>
        </w:rPr>
      </w:pPr>
      <w:r w:rsidRPr="00DA145C">
        <w:rPr>
          <w:rFonts w:ascii="Arial" w:hAnsi="Arial" w:cs="Arial"/>
          <w:b w:val="0"/>
          <w:sz w:val="24"/>
        </w:rPr>
        <w:t>La</w:t>
      </w:r>
      <w:r>
        <w:rPr>
          <w:rFonts w:ascii="Arial" w:hAnsi="Arial" w:cs="Arial"/>
        </w:rPr>
        <w:t xml:space="preserve"> </w:t>
      </w:r>
      <w:r w:rsidRPr="00DA145C">
        <w:rPr>
          <w:rFonts w:ascii="Arial" w:hAnsi="Arial" w:cs="Arial"/>
          <w:b w:val="0"/>
          <w:sz w:val="24"/>
        </w:rPr>
        <w:t xml:space="preserve">función principal de un Catastro es la de obtener, sistematizar y mantener la Información Cartográfica para la determinación de las Contribuciones Inmobiliarias, logrando con esto, el fortalecimiento de </w:t>
      </w:r>
      <w:smartTag w:uri="urn:schemas-microsoft-com:office:smarttags" w:element="PersonName">
        <w:smartTagPr>
          <w:attr w:name="ProductID" w:val="la Hacienda Municipal"/>
        </w:smartTagPr>
        <w:r w:rsidRPr="00DA145C">
          <w:rPr>
            <w:rFonts w:ascii="Arial" w:hAnsi="Arial" w:cs="Arial"/>
            <w:b w:val="0"/>
            <w:sz w:val="24"/>
          </w:rPr>
          <w:t>la Hacienda Municipal</w:t>
        </w:r>
      </w:smartTag>
      <w:r w:rsidRPr="00DA145C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t xml:space="preserve">y como consecuencia que haya mayores ingresos </w:t>
      </w:r>
      <w:r w:rsidRPr="00DA145C">
        <w:rPr>
          <w:rFonts w:ascii="Arial" w:hAnsi="Arial" w:cs="Arial"/>
          <w:b w:val="0"/>
          <w:sz w:val="24"/>
        </w:rPr>
        <w:t xml:space="preserve">para que </w:t>
      </w:r>
      <w:r>
        <w:rPr>
          <w:rFonts w:ascii="Arial" w:hAnsi="Arial" w:cs="Arial"/>
          <w:b w:val="0"/>
          <w:sz w:val="24"/>
        </w:rPr>
        <w:t xml:space="preserve">el Gobierno </w:t>
      </w:r>
      <w:r w:rsidRPr="00DA145C">
        <w:rPr>
          <w:rFonts w:ascii="Arial" w:hAnsi="Arial" w:cs="Arial"/>
          <w:b w:val="0"/>
          <w:sz w:val="24"/>
        </w:rPr>
        <w:t>Municipal esté en condiciones de proporcionar los servicios básicos y obras públicas que demanda la ciudadanía, considerando que la finalidad principal de una Administración Municipal es la de administrar eficientemente los recursos con los que cuenta</w:t>
      </w:r>
      <w:r>
        <w:rPr>
          <w:rFonts w:ascii="Arial" w:hAnsi="Arial" w:cs="Arial"/>
          <w:b w:val="0"/>
          <w:sz w:val="24"/>
        </w:rPr>
        <w:t>,</w:t>
      </w:r>
      <w:r w:rsidRPr="00DA145C">
        <w:rPr>
          <w:rFonts w:ascii="Arial" w:hAnsi="Arial" w:cs="Arial"/>
          <w:b w:val="0"/>
          <w:sz w:val="24"/>
        </w:rPr>
        <w:t xml:space="preserve"> en beneficio de sus gobernados.</w:t>
      </w:r>
    </w:p>
    <w:p w:rsidR="00106E07" w:rsidRPr="00736863" w:rsidRDefault="00106E07" w:rsidP="00106E07">
      <w:pPr>
        <w:pStyle w:val="Textoindependiente"/>
        <w:ind w:firstLine="709"/>
        <w:jc w:val="both"/>
        <w:rPr>
          <w:rFonts w:ascii="Arial" w:hAnsi="Arial" w:cs="Arial"/>
          <w:b w:val="0"/>
          <w:bCs/>
        </w:rPr>
      </w:pPr>
    </w:p>
    <w:p w:rsidR="00236142" w:rsidRPr="00236142" w:rsidRDefault="007F5B0A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2. OBJETIVO GENERAL DE</w:t>
      </w:r>
      <w:r w:rsidR="00D14B2B">
        <w:rPr>
          <w:rFonts w:ascii="Arial Narrow" w:hAnsi="Arial Narrow"/>
          <w:b/>
          <w:sz w:val="24"/>
        </w:rPr>
        <w:t>L PROGRAMA ANUAL DE TRABAJO 2020</w:t>
      </w:r>
      <w:r>
        <w:rPr>
          <w:rFonts w:ascii="Arial Narrow" w:hAnsi="Arial Narrow"/>
          <w:b/>
          <w:sz w:val="24"/>
        </w:rPr>
        <w:t>:</w:t>
      </w:r>
    </w:p>
    <w:p w:rsidR="00106E07" w:rsidRDefault="00106E07" w:rsidP="00106E07">
      <w:pPr>
        <w:pStyle w:val="Textoindependiente"/>
        <w:jc w:val="left"/>
        <w:rPr>
          <w:rFonts w:ascii="Arial" w:hAnsi="Arial" w:cs="Arial"/>
          <w:b w:val="0"/>
          <w:sz w:val="24"/>
        </w:rPr>
      </w:pPr>
    </w:p>
    <w:p w:rsidR="00236142" w:rsidRDefault="00106E07" w:rsidP="00106E07">
      <w:pPr>
        <w:pStyle w:val="Textoindependiente"/>
        <w:ind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El Catastro tiene por objeto la determinación de las características cualitativas y cuantitativas de los predios y construcciones ubicados dentro del municipio, mediante la formación y conservación de los registros y bases de datos que permitan su uso múltiple, como medio para obtener los elementos técnicos, estadísticos y fiscales que lo constituyen. </w:t>
      </w:r>
    </w:p>
    <w:p w:rsidR="00106E07" w:rsidRPr="00106E07" w:rsidRDefault="00106E07" w:rsidP="00106E07">
      <w:pPr>
        <w:pStyle w:val="Textoindependiente"/>
        <w:ind w:firstLine="709"/>
        <w:jc w:val="both"/>
        <w:rPr>
          <w:rFonts w:ascii="Arial" w:hAnsi="Arial" w:cs="Arial"/>
          <w:b w:val="0"/>
          <w:sz w:val="24"/>
        </w:rPr>
      </w:pPr>
    </w:p>
    <w:p w:rsidR="00236142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3. FUNDAMENTO LEGAL</w:t>
      </w:r>
    </w:p>
    <w:p w:rsidR="000F046F" w:rsidRDefault="000F046F" w:rsidP="000F046F">
      <w:pPr>
        <w:autoSpaceDE w:val="0"/>
        <w:autoSpaceDN w:val="0"/>
        <w:adjustRightInd w:val="0"/>
        <w:spacing w:after="0" w:line="240" w:lineRule="auto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  <w:r w:rsidRPr="000F046F">
        <w:rPr>
          <w:rFonts w:ascii="Arial Narrow" w:hAnsi="Arial Narrow"/>
          <w:sz w:val="24"/>
        </w:rPr>
        <w:t>En Jalisco, la Ley de Planeación para el Estado de Jalisco y sus Municipios establece los lineamientos y criterios generales de seguimiento y evaluación. El artículo 75 estipula que ambas se refieren a las actividades de verificación, medición, detección y corrección de desviaciones o insuficiencias de carácter cualitativo y cuantitativo, tanto en la instrumentación como en la ejecución de los planes y programas, centrándose en los correspondientes objetivos, metas y acciones</w:t>
      </w:r>
      <w:r w:rsidRPr="000F046F">
        <w:rPr>
          <w:rFonts w:ascii="AvenirNext-Regular" w:hAnsi="AvenirNext-Regular" w:cs="AvenirNext-Regular"/>
          <w:color w:val="4D4D4F"/>
          <w:sz w:val="19"/>
          <w:szCs w:val="19"/>
        </w:rPr>
        <w:t>.</w:t>
      </w:r>
    </w:p>
    <w:p w:rsidR="000F046F" w:rsidRDefault="000F046F" w:rsidP="000F046F">
      <w:pPr>
        <w:spacing w:after="0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</w:p>
    <w:p w:rsidR="007F5B0A" w:rsidRDefault="007F5B0A" w:rsidP="000F046F">
      <w:pPr>
        <w:spacing w:after="0"/>
        <w:jc w:val="both"/>
        <w:rPr>
          <w:rFonts w:ascii="Arial Narrow" w:hAnsi="Arial Narrow"/>
          <w:b/>
          <w:sz w:val="24"/>
        </w:rPr>
      </w:pPr>
      <w:r w:rsidRPr="007F5B0A">
        <w:rPr>
          <w:rFonts w:ascii="Arial Narrow" w:hAnsi="Arial Narrow"/>
          <w:b/>
          <w:sz w:val="24"/>
        </w:rPr>
        <w:t>4. ALINEACIÓN DEL PAT CON LOS DOCUMENTOS RECTORES DE L</w:t>
      </w:r>
      <w:r>
        <w:rPr>
          <w:rFonts w:ascii="Arial Narrow" w:hAnsi="Arial Narrow"/>
          <w:b/>
          <w:sz w:val="24"/>
        </w:rPr>
        <w:t>A ADMINISTRACIÓN PÚBLICA MUNICIPAL</w:t>
      </w:r>
    </w:p>
    <w:p w:rsidR="007F5B0A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tbl>
      <w:tblPr>
        <w:tblStyle w:val="Tabladecuadrcula4-nfasis31"/>
        <w:tblW w:w="13603" w:type="dxa"/>
        <w:tblLook w:val="04A0" w:firstRow="1" w:lastRow="0" w:firstColumn="1" w:lastColumn="0" w:noHBand="0" w:noVBand="1"/>
      </w:tblPr>
      <w:tblGrid>
        <w:gridCol w:w="4248"/>
        <w:gridCol w:w="4678"/>
        <w:gridCol w:w="4677"/>
      </w:tblGrid>
      <w:tr w:rsidR="007F5B0A" w:rsidTr="00526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F5B0A" w:rsidRDefault="007F5B0A" w:rsidP="007F5B0A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NACIONAL DE DESARROLLO</w:t>
            </w:r>
          </w:p>
        </w:tc>
        <w:tc>
          <w:tcPr>
            <w:tcW w:w="4678" w:type="dxa"/>
          </w:tcPr>
          <w:p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ESTATAL DE DESARROLLO</w:t>
            </w:r>
          </w:p>
        </w:tc>
        <w:tc>
          <w:tcPr>
            <w:tcW w:w="4677" w:type="dxa"/>
          </w:tcPr>
          <w:p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MUNICIPAL DE DESARROLLO</w:t>
            </w:r>
          </w:p>
        </w:tc>
      </w:tr>
      <w:tr w:rsidR="007F5B0A" w:rsidTr="0052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7F5B0A" w:rsidRPr="00D443FA" w:rsidRDefault="007F5B0A" w:rsidP="007F5B0A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D443FA">
              <w:rPr>
                <w:rFonts w:ascii="Arial Narrow" w:hAnsi="Arial Narrow"/>
                <w:color w:val="FF0000"/>
                <w:sz w:val="24"/>
              </w:rPr>
              <w:t>OBJETIVO SUPERIOR:</w:t>
            </w:r>
          </w:p>
          <w:p w:rsidR="00BD1E4A" w:rsidRPr="00D443FA" w:rsidRDefault="00BD1E4A" w:rsidP="00BD1E4A">
            <w:pPr>
              <w:jc w:val="both"/>
              <w:rPr>
                <w:rFonts w:ascii="Arial Narrow" w:hAnsi="Arial Narrow"/>
              </w:rPr>
            </w:pPr>
            <w:r w:rsidRPr="00D443FA">
              <w:rPr>
                <w:rFonts w:ascii="Arial Narrow" w:hAnsi="Arial Narrow"/>
              </w:rPr>
              <w:t>Meta Nacional</w:t>
            </w:r>
          </w:p>
          <w:p w:rsidR="00683AE0" w:rsidRPr="00D443FA" w:rsidRDefault="00D443FA" w:rsidP="00683AE0">
            <w:pPr>
              <w:jc w:val="both"/>
              <w:rPr>
                <w:rFonts w:ascii="Arial Narrow" w:hAnsi="Arial Narrow"/>
              </w:rPr>
            </w:pPr>
            <w:r w:rsidRPr="00D443FA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 xml:space="preserve">Propiciar la modernización </w:t>
            </w:r>
            <w:r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>de catastros y R</w:t>
            </w:r>
            <w:r w:rsidRPr="00D443FA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 xml:space="preserve">egistros </w:t>
            </w:r>
            <w:r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>P</w:t>
            </w:r>
            <w:r w:rsidRPr="00D443FA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 xml:space="preserve">úblicos </w:t>
            </w:r>
            <w:r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>de la P</w:t>
            </w:r>
            <w:r w:rsidRPr="00D443FA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>ropiedad</w:t>
            </w:r>
            <w:r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>, así como la incorporación y regularización de propiedades no registradas.</w:t>
            </w:r>
          </w:p>
          <w:p w:rsidR="00BD1E4A" w:rsidRPr="00E80AF7" w:rsidRDefault="00BD1E4A" w:rsidP="00683AE0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4678" w:type="dxa"/>
          </w:tcPr>
          <w:p w:rsidR="007F5B0A" w:rsidRPr="00C303F0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C303F0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7F5B0A" w:rsidRPr="000F046F" w:rsidRDefault="005607BD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sz w:val="24"/>
                <w:highlight w:val="yellow"/>
              </w:rPr>
            </w:pPr>
            <w:r w:rsidRPr="00C303F0">
              <w:rPr>
                <w:rFonts w:ascii="Arial Narrow" w:hAnsi="Arial Narrow"/>
                <w:b/>
              </w:rPr>
              <w:t xml:space="preserve">Mejorar el pago de impuestos y servicios públicos </w:t>
            </w:r>
            <w:r w:rsidR="00C303F0" w:rsidRPr="00C303F0">
              <w:rPr>
                <w:rFonts w:ascii="Arial Narrow" w:hAnsi="Arial Narrow"/>
                <w:b/>
              </w:rPr>
              <w:t xml:space="preserve">acorde con el nivel de vida e ingresos de la población. </w:t>
            </w:r>
          </w:p>
        </w:tc>
        <w:tc>
          <w:tcPr>
            <w:tcW w:w="4677" w:type="dxa"/>
          </w:tcPr>
          <w:p w:rsidR="007F5B0A" w:rsidRPr="00183EE7" w:rsidRDefault="007F5B0A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183EE7">
              <w:rPr>
                <w:rFonts w:ascii="Arial Narrow" w:hAnsi="Arial Narrow"/>
                <w:b/>
                <w:bCs/>
                <w:color w:val="FF0000"/>
                <w:sz w:val="24"/>
              </w:rPr>
              <w:t>OBJETIVO SUPERIOR:</w:t>
            </w:r>
          </w:p>
          <w:p w:rsidR="00BD1E4A" w:rsidRPr="000F046F" w:rsidRDefault="00183EE7" w:rsidP="007F5B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highlight w:val="yellow"/>
              </w:rPr>
            </w:pPr>
            <w:r w:rsidRPr="00C303F0">
              <w:rPr>
                <w:rFonts w:ascii="Arial Narrow" w:hAnsi="Arial Narrow"/>
                <w:b/>
              </w:rPr>
              <w:t xml:space="preserve">Mejorar el pago de impuestos y servicios </w:t>
            </w:r>
            <w:r w:rsidR="00D14B2B">
              <w:rPr>
                <w:rFonts w:ascii="Arial Narrow" w:hAnsi="Arial Narrow"/>
                <w:b/>
              </w:rPr>
              <w:t>catastrales</w:t>
            </w:r>
            <w:r w:rsidRPr="00C303F0">
              <w:rPr>
                <w:rFonts w:ascii="Arial Narrow" w:hAnsi="Arial Narrow"/>
                <w:b/>
              </w:rPr>
              <w:t xml:space="preserve"> acorde con el nivel de vida e ingresos de la población. </w:t>
            </w:r>
          </w:p>
          <w:p w:rsidR="007F5B0A" w:rsidRPr="000F046F" w:rsidRDefault="007F5B0A" w:rsidP="00BD1E4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highlight w:val="yellow"/>
              </w:rPr>
            </w:pPr>
          </w:p>
        </w:tc>
      </w:tr>
      <w:tr w:rsidR="00BD1E4A" w:rsidTr="00526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BD1E4A" w:rsidRPr="00E31172" w:rsidRDefault="00BD1E4A" w:rsidP="007F5B0A">
            <w:pPr>
              <w:jc w:val="both"/>
              <w:rPr>
                <w:rFonts w:ascii="Arial Narrow" w:hAnsi="Arial Narrow"/>
                <w:b w:val="0"/>
                <w:color w:val="FF0000"/>
                <w:sz w:val="24"/>
              </w:rPr>
            </w:pPr>
            <w:r w:rsidRPr="00E31172">
              <w:rPr>
                <w:rFonts w:ascii="Arial Narrow" w:hAnsi="Arial Narrow"/>
                <w:b w:val="0"/>
                <w:color w:val="FF0000"/>
                <w:sz w:val="24"/>
              </w:rPr>
              <w:t>OBJETIVOS SECUNDARIOS:</w:t>
            </w:r>
          </w:p>
          <w:p w:rsidR="00BD1E4A" w:rsidRPr="00E80AF7" w:rsidRDefault="00E31172" w:rsidP="000F046F">
            <w:pPr>
              <w:jc w:val="both"/>
              <w:rPr>
                <w:rFonts w:ascii="Arial Narrow" w:hAnsi="Arial Narrow"/>
                <w:b w:val="0"/>
                <w:sz w:val="24"/>
                <w:highlight w:val="yellow"/>
              </w:rPr>
            </w:pPr>
            <w:r w:rsidRPr="00E31172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lastRenderedPageBreak/>
              <w:t xml:space="preserve">Las entidades federativas y los municipios, requieren de haciendas públicas </w:t>
            </w:r>
            <w:r w:rsidR="005607BD" w:rsidRPr="00E31172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>más</w:t>
            </w:r>
            <w:r w:rsidRPr="00E31172">
              <w:rPr>
                <w:rFonts w:ascii="SoberanaSans-Bold" w:hAnsi="SoberanaSans-Bold" w:cs="SoberanaSans-Bold"/>
                <w:b w:val="0"/>
                <w:bCs w:val="0"/>
                <w:sz w:val="20"/>
                <w:szCs w:val="20"/>
              </w:rPr>
              <w:t xml:space="preserve"> fuertes para llevar a cabo sus planes de trabajo. </w:t>
            </w:r>
          </w:p>
        </w:tc>
        <w:tc>
          <w:tcPr>
            <w:tcW w:w="4678" w:type="dxa"/>
          </w:tcPr>
          <w:p w:rsidR="00BD1E4A" w:rsidRPr="00C303F0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</w:rPr>
            </w:pPr>
            <w:r w:rsidRPr="00C303F0">
              <w:rPr>
                <w:rFonts w:ascii="Arial Narrow" w:hAnsi="Arial Narrow"/>
                <w:bCs/>
                <w:color w:val="FF0000"/>
                <w:sz w:val="24"/>
              </w:rPr>
              <w:lastRenderedPageBreak/>
              <w:t>OBJETIVOS SECUNDARIOS:</w:t>
            </w:r>
          </w:p>
          <w:p w:rsidR="00BD1E4A" w:rsidRPr="000F046F" w:rsidRDefault="00C303F0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  <w:highlight w:val="yellow"/>
              </w:rPr>
            </w:pPr>
            <w:r w:rsidRPr="00C303F0">
              <w:rPr>
                <w:rFonts w:ascii="Arial Narrow" w:hAnsi="Arial Narrow"/>
              </w:rPr>
              <w:lastRenderedPageBreak/>
              <w:t>En materia de impuestos y recaudación fiscal, el Estado y los municipios tienen la facultad de diferenciar el cobro de servicios públicos, de acuerdo con la riqueza de los hogares y los territorios.</w:t>
            </w:r>
          </w:p>
        </w:tc>
        <w:tc>
          <w:tcPr>
            <w:tcW w:w="4677" w:type="dxa"/>
          </w:tcPr>
          <w:p w:rsidR="00BD1E4A" w:rsidRPr="00183EE7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</w:rPr>
            </w:pPr>
            <w:r w:rsidRPr="00183EE7">
              <w:rPr>
                <w:rFonts w:ascii="Arial Narrow" w:hAnsi="Arial Narrow"/>
                <w:bCs/>
                <w:color w:val="FF0000"/>
                <w:sz w:val="24"/>
              </w:rPr>
              <w:lastRenderedPageBreak/>
              <w:t>OBJETIVOS SECUNDARIOS:</w:t>
            </w:r>
          </w:p>
          <w:p w:rsidR="00BD1E4A" w:rsidRPr="000F046F" w:rsidRDefault="00183EE7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highlight w:val="yellow"/>
              </w:rPr>
            </w:pPr>
            <w:r w:rsidRPr="00C303F0">
              <w:rPr>
                <w:rFonts w:ascii="Arial Narrow" w:hAnsi="Arial Narrow"/>
              </w:rPr>
              <w:lastRenderedPageBreak/>
              <w:t xml:space="preserve">En materia de impuestos y recaudación fiscal, el Estado y los municipios tienen la facultad de diferenciar el cobro de servicios públicos, de acuerdo </w:t>
            </w:r>
            <w:r w:rsidR="00894808">
              <w:rPr>
                <w:rFonts w:ascii="Arial Narrow" w:hAnsi="Arial Narrow"/>
              </w:rPr>
              <w:t>a la Ley de ingresos del municipio para el ejercicio fiscal 2020.</w:t>
            </w:r>
          </w:p>
          <w:p w:rsidR="00BD1E4A" w:rsidRPr="000F046F" w:rsidRDefault="00BD1E4A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4"/>
                <w:highlight w:val="yellow"/>
              </w:rPr>
            </w:pPr>
          </w:p>
        </w:tc>
      </w:tr>
    </w:tbl>
    <w:p w:rsidR="007F5B0A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5. </w:t>
      </w:r>
      <w:r w:rsidRPr="00BD1E4A">
        <w:rPr>
          <w:rFonts w:ascii="Arial Narrow" w:hAnsi="Arial Narrow"/>
          <w:b/>
          <w:sz w:val="24"/>
        </w:rPr>
        <w:t>UNIDADES ADMINISTRATIVAS PARTICIPANTES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Este apartado, contiene las acciones específicas, así como las actividades de las unidades admini</w:t>
      </w:r>
      <w:r>
        <w:rPr>
          <w:rFonts w:ascii="Arial Narrow" w:hAnsi="Arial Narrow"/>
          <w:sz w:val="24"/>
        </w:rPr>
        <w:t>strativas que integran el Gobierno Municipal</w:t>
      </w:r>
      <w:r w:rsidRPr="00BD1E4A">
        <w:rPr>
          <w:rFonts w:ascii="Arial Narrow" w:hAnsi="Arial Narrow"/>
          <w:sz w:val="24"/>
        </w:rPr>
        <w:t>, que llevaran a cabo durante el presente año, lo antes señalado se encuentra programado con base en los recursos financieros autorizados.</w:t>
      </w: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</w:p>
    <w:p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 importante señalar que se dará s</w:t>
      </w:r>
      <w:r w:rsidR="00D14B2B">
        <w:rPr>
          <w:rFonts w:ascii="Arial Narrow" w:hAnsi="Arial Narrow"/>
          <w:sz w:val="24"/>
        </w:rPr>
        <w:t>eguimiento trimestral al PAT 2020</w:t>
      </w:r>
      <w:r w:rsidRPr="00BD1E4A">
        <w:rPr>
          <w:rFonts w:ascii="Arial Narrow" w:hAnsi="Arial Narrow"/>
          <w:sz w:val="24"/>
        </w:rPr>
        <w:t>, con el fin de observar el avance de los compromisos y realizar los ajustes necesarios</w:t>
      </w:r>
      <w:r>
        <w:rPr>
          <w:rFonts w:ascii="Arial Narrow" w:hAnsi="Arial Narrow"/>
          <w:sz w:val="24"/>
        </w:rPr>
        <w:t>.</w:t>
      </w:r>
    </w:p>
    <w:p w:rsidR="008B3C1E" w:rsidRDefault="008B3C1E" w:rsidP="007F5B0A">
      <w:pPr>
        <w:spacing w:after="0"/>
        <w:jc w:val="both"/>
        <w:rPr>
          <w:rFonts w:ascii="Arial Narrow" w:hAnsi="Arial Narrow"/>
          <w:sz w:val="24"/>
        </w:rPr>
      </w:pPr>
    </w:p>
    <w:tbl>
      <w:tblPr>
        <w:tblStyle w:val="Tabladecuadrcula4-nfasis31"/>
        <w:tblW w:w="13603" w:type="dxa"/>
        <w:tblLook w:val="04A0" w:firstRow="1" w:lastRow="0" w:firstColumn="1" w:lastColumn="0" w:noHBand="0" w:noVBand="1"/>
      </w:tblPr>
      <w:tblGrid>
        <w:gridCol w:w="1243"/>
        <w:gridCol w:w="1340"/>
        <w:gridCol w:w="1260"/>
        <w:gridCol w:w="1200"/>
        <w:gridCol w:w="889"/>
        <w:gridCol w:w="6643"/>
        <w:gridCol w:w="1028"/>
      </w:tblGrid>
      <w:tr w:rsidR="008B3C1E" w:rsidTr="00526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7"/>
          </w:tcPr>
          <w:p w:rsidR="008B3C1E" w:rsidRPr="00B85CA4" w:rsidRDefault="008B3C1E" w:rsidP="00183EE7">
            <w:pPr>
              <w:jc w:val="both"/>
              <w:rPr>
                <w:rFonts w:ascii="Arial Narrow" w:hAnsi="Arial Narrow"/>
                <w:sz w:val="24"/>
              </w:rPr>
            </w:pPr>
            <w:r w:rsidRPr="00B85CA4">
              <w:rPr>
                <w:rFonts w:ascii="Arial Narrow" w:hAnsi="Arial Narrow"/>
                <w:sz w:val="24"/>
              </w:rPr>
              <w:t xml:space="preserve">5.1 </w:t>
            </w:r>
            <w:r w:rsidR="00183EE7">
              <w:rPr>
                <w:rFonts w:ascii="Arial Narrow" w:hAnsi="Arial Narrow"/>
                <w:color w:val="FF0000"/>
                <w:sz w:val="24"/>
              </w:rPr>
              <w:t xml:space="preserve">Oficina de Catastro Municipal. </w:t>
            </w:r>
            <w:r w:rsidRPr="00B85CA4">
              <w:rPr>
                <w:rFonts w:ascii="Arial Narrow" w:hAnsi="Arial Narrow"/>
                <w:color w:val="FF0000"/>
                <w:sz w:val="24"/>
              </w:rPr>
              <w:t xml:space="preserve"> </w:t>
            </w:r>
          </w:p>
        </w:tc>
      </w:tr>
      <w:tr w:rsidR="00526C5D" w:rsidTr="00973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p w:rsidR="008B3C1E" w:rsidRPr="00B85CA4" w:rsidRDefault="00915D01" w:rsidP="00915D01">
            <w:pPr>
              <w:jc w:val="center"/>
              <w:rPr>
                <w:rFonts w:ascii="Arial Narrow" w:hAnsi="Arial Narrow"/>
                <w:sz w:val="18"/>
              </w:rPr>
            </w:pPr>
            <w:r w:rsidRPr="00B85CA4">
              <w:rPr>
                <w:rFonts w:ascii="Arial Narrow" w:hAnsi="Arial Narrow"/>
                <w:sz w:val="18"/>
              </w:rPr>
              <w:t>Vinculación</w:t>
            </w:r>
            <w:r w:rsidR="008B3C1E" w:rsidRPr="00B85CA4">
              <w:rPr>
                <w:rFonts w:ascii="Arial Narrow" w:hAnsi="Arial Narrow"/>
                <w:sz w:val="18"/>
              </w:rPr>
              <w:t xml:space="preserve"> con las líneas de acción del Programa</w:t>
            </w:r>
            <w:r w:rsidRPr="00B85CA4">
              <w:rPr>
                <w:rFonts w:ascii="Arial Narrow" w:hAnsi="Arial Narrow"/>
                <w:sz w:val="18"/>
              </w:rPr>
              <w:t xml:space="preserve"> Institucional</w:t>
            </w:r>
          </w:p>
        </w:tc>
        <w:tc>
          <w:tcPr>
            <w:tcW w:w="1340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Acciones especificas</w:t>
            </w:r>
          </w:p>
        </w:tc>
        <w:tc>
          <w:tcPr>
            <w:tcW w:w="1260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Objetivos de la acción especifica</w:t>
            </w:r>
          </w:p>
        </w:tc>
        <w:tc>
          <w:tcPr>
            <w:tcW w:w="1200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Meta y periodicidad</w:t>
            </w:r>
          </w:p>
        </w:tc>
        <w:tc>
          <w:tcPr>
            <w:tcW w:w="889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Trimestre</w:t>
            </w:r>
          </w:p>
        </w:tc>
        <w:tc>
          <w:tcPr>
            <w:tcW w:w="6643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 xml:space="preserve">Actividades para lograr la </w:t>
            </w:r>
            <w:r w:rsidR="00915D01" w:rsidRPr="00B85CA4">
              <w:rPr>
                <w:rFonts w:ascii="Arial Narrow" w:hAnsi="Arial Narrow"/>
                <w:b/>
                <w:sz w:val="18"/>
              </w:rPr>
              <w:t>acción</w:t>
            </w:r>
          </w:p>
        </w:tc>
        <w:tc>
          <w:tcPr>
            <w:tcW w:w="1028" w:type="dxa"/>
          </w:tcPr>
          <w:p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Evidencia</w:t>
            </w:r>
          </w:p>
        </w:tc>
      </w:tr>
      <w:tr w:rsidR="00CB2EC9" w:rsidRPr="00915D01" w:rsidTr="00973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 w:val="restart"/>
          </w:tcPr>
          <w:p w:rsidR="00CB2EC9" w:rsidRDefault="00CB2EC9" w:rsidP="00CB2EC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br/>
              <w:t>-</w:t>
            </w:r>
            <w:r w:rsidRPr="00183EE7">
              <w:rPr>
                <w:rFonts w:ascii="Arial Narrow" w:hAnsi="Arial Narrow"/>
                <w:sz w:val="16"/>
              </w:rPr>
              <w:t>Aportar a la economía estatal y federal por medio de Fortalecer los ingresos municipales en el pago puntual de los impuestos prediales</w:t>
            </w:r>
            <w:r>
              <w:rPr>
                <w:rFonts w:ascii="Arial Narrow" w:hAnsi="Arial Narrow"/>
                <w:sz w:val="16"/>
              </w:rPr>
              <w:t xml:space="preserve">, así como los servicios que de ello derivan. </w:t>
            </w:r>
          </w:p>
          <w:p w:rsidR="00CB2EC9" w:rsidRDefault="00CB2EC9" w:rsidP="00CB2EC9">
            <w:pPr>
              <w:rPr>
                <w:rFonts w:ascii="Arial Narrow" w:hAnsi="Arial Narrow"/>
                <w:sz w:val="16"/>
                <w:highlight w:val="yellow"/>
              </w:rPr>
            </w:pPr>
            <w:r>
              <w:rPr>
                <w:rFonts w:ascii="Arial Narrow" w:hAnsi="Arial Narrow"/>
                <w:sz w:val="16"/>
              </w:rPr>
              <w:br/>
            </w:r>
          </w:p>
          <w:p w:rsidR="00CB2EC9" w:rsidRDefault="00CB2EC9" w:rsidP="00CB2EC9">
            <w:pPr>
              <w:rPr>
                <w:rFonts w:ascii="Arial Narrow" w:hAnsi="Arial Narrow"/>
                <w:sz w:val="16"/>
                <w:highlight w:val="yellow"/>
              </w:rPr>
            </w:pPr>
          </w:p>
          <w:p w:rsidR="00CB2EC9" w:rsidRDefault="00CB2EC9" w:rsidP="00CB2EC9">
            <w:pPr>
              <w:rPr>
                <w:rFonts w:ascii="Arial Narrow" w:hAnsi="Arial Narrow"/>
                <w:sz w:val="16"/>
                <w:highlight w:val="yellow"/>
              </w:rPr>
            </w:pPr>
          </w:p>
          <w:p w:rsidR="00CB2EC9" w:rsidRDefault="00CB2EC9" w:rsidP="00CB2EC9">
            <w:pPr>
              <w:rPr>
                <w:rFonts w:ascii="Arial Narrow" w:hAnsi="Arial Narrow"/>
                <w:sz w:val="16"/>
                <w:highlight w:val="yellow"/>
              </w:rPr>
            </w:pPr>
          </w:p>
          <w:p w:rsidR="00CB2EC9" w:rsidRDefault="00CB2EC9" w:rsidP="00CB2EC9">
            <w:pPr>
              <w:rPr>
                <w:rFonts w:ascii="Arial Narrow" w:hAnsi="Arial Narrow"/>
                <w:sz w:val="16"/>
                <w:highlight w:val="yellow"/>
              </w:rPr>
            </w:pPr>
          </w:p>
          <w:p w:rsidR="00CB2EC9" w:rsidRDefault="00CB2EC9" w:rsidP="00CB2EC9">
            <w:pPr>
              <w:rPr>
                <w:rFonts w:ascii="Arial Narrow" w:hAnsi="Arial Narrow"/>
                <w:sz w:val="16"/>
                <w:highlight w:val="yellow"/>
              </w:rPr>
            </w:pPr>
          </w:p>
          <w:p w:rsidR="00CB2EC9" w:rsidRDefault="00CB2EC9" w:rsidP="00CB2EC9">
            <w:pPr>
              <w:rPr>
                <w:rFonts w:ascii="Arial Narrow" w:hAnsi="Arial Narrow"/>
                <w:sz w:val="16"/>
                <w:highlight w:val="yellow"/>
              </w:rPr>
            </w:pPr>
          </w:p>
          <w:p w:rsidR="00CB2EC9" w:rsidRDefault="00CB2EC9" w:rsidP="00CB2EC9">
            <w:pPr>
              <w:rPr>
                <w:rFonts w:ascii="Arial Narrow" w:hAnsi="Arial Narrow"/>
                <w:sz w:val="16"/>
                <w:highlight w:val="yellow"/>
              </w:rPr>
            </w:pPr>
          </w:p>
          <w:p w:rsidR="00CB2EC9" w:rsidRDefault="00CB2EC9" w:rsidP="00CB2EC9">
            <w:pPr>
              <w:rPr>
                <w:rFonts w:ascii="Arial Narrow" w:hAnsi="Arial Narrow"/>
                <w:sz w:val="16"/>
                <w:highlight w:val="yellow"/>
              </w:rPr>
            </w:pPr>
          </w:p>
          <w:p w:rsidR="00CB2EC9" w:rsidRDefault="00CB2EC9" w:rsidP="00CB2EC9">
            <w:pPr>
              <w:rPr>
                <w:rFonts w:ascii="Arial Narrow" w:hAnsi="Arial Narrow"/>
                <w:sz w:val="16"/>
                <w:highlight w:val="yellow"/>
              </w:rPr>
            </w:pPr>
          </w:p>
          <w:p w:rsidR="00CB2EC9" w:rsidRDefault="00CB2EC9" w:rsidP="00CB2EC9">
            <w:pPr>
              <w:rPr>
                <w:rFonts w:ascii="Arial Narrow" w:hAnsi="Arial Narrow"/>
                <w:sz w:val="16"/>
                <w:highlight w:val="yellow"/>
              </w:rPr>
            </w:pPr>
          </w:p>
          <w:p w:rsidR="00894808" w:rsidRPr="00E80AF7" w:rsidRDefault="00894808" w:rsidP="00CB2EC9">
            <w:pPr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40" w:type="dxa"/>
            <w:vMerge w:val="restart"/>
          </w:tcPr>
          <w:p w:rsidR="00CB2EC9" w:rsidRPr="00183EE7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lastRenderedPageBreak/>
              <w:t xml:space="preserve">Acción específica </w:t>
            </w:r>
          </w:p>
          <w:p w:rsidR="00CB2EC9" w:rsidRPr="00E80AF7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highlight w:val="yellow"/>
              </w:rPr>
            </w:pPr>
          </w:p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TRAMITE Y REGISTRO </w:t>
            </w:r>
          </w:p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SERVICIOS CATASTRALES</w:t>
            </w:r>
            <w:r w:rsidRPr="004F63B3">
              <w:rPr>
                <w:rFonts w:ascii="Arial Narrow" w:hAnsi="Arial Narrow"/>
                <w:sz w:val="16"/>
              </w:rPr>
              <w:t xml:space="preserve"> </w:t>
            </w:r>
          </w:p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ACTIVIDADES RELEVANTES DEL CATASTRO</w:t>
            </w:r>
          </w:p>
          <w:p w:rsidR="00894808" w:rsidRDefault="00894808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894808" w:rsidRDefault="00894808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894808" w:rsidRDefault="00894808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894808" w:rsidRDefault="00894808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894808" w:rsidRDefault="00894808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894808" w:rsidRDefault="00894808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894808" w:rsidRPr="00E80AF7" w:rsidRDefault="00894808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>
              <w:rPr>
                <w:rFonts w:ascii="Arial Narrow" w:hAnsi="Arial Narrow"/>
                <w:sz w:val="16"/>
              </w:rPr>
              <w:t>-  Actualizar Tablas de valores para el ejerció fiscal 2021</w:t>
            </w:r>
          </w:p>
        </w:tc>
        <w:tc>
          <w:tcPr>
            <w:tcW w:w="1260" w:type="dxa"/>
            <w:vMerge w:val="restart"/>
          </w:tcPr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Actualizar el padrón catastral, para una mayor certeza y recaudación.</w:t>
            </w:r>
          </w:p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CB2EC9" w:rsidRPr="00CA1968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16"/>
              </w:rPr>
            </w:pPr>
            <w:r w:rsidRPr="00CA1968">
              <w:rPr>
                <w:rFonts w:ascii="Arial Narrow" w:hAnsi="Arial Narrow"/>
                <w:color w:val="000000" w:themeColor="text1"/>
                <w:sz w:val="16"/>
              </w:rPr>
              <w:t>Para mejorar la atención al contribuyente y trámites legales correspondientes.</w:t>
            </w:r>
          </w:p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</w:rPr>
            </w:pPr>
          </w:p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</w:rPr>
            </w:pPr>
          </w:p>
          <w:p w:rsidR="00CB2EC9" w:rsidRPr="00E80AF7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>
              <w:rPr>
                <w:rFonts w:ascii="Arial Narrow" w:hAnsi="Arial Narrow" w:cs="Arial"/>
                <w:sz w:val="16"/>
              </w:rPr>
              <w:lastRenderedPageBreak/>
              <w:t>Impulsar la mejora al catastro municipal.</w:t>
            </w:r>
          </w:p>
        </w:tc>
        <w:tc>
          <w:tcPr>
            <w:tcW w:w="1200" w:type="dxa"/>
            <w:vMerge w:val="restart"/>
          </w:tcPr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  <w:p w:rsidR="00CB2EC9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  <w:p w:rsidR="00CB2EC9" w:rsidRPr="001D2CD4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1D2CD4">
              <w:rPr>
                <w:rFonts w:ascii="Arial Narrow" w:hAnsi="Arial Narrow"/>
                <w:sz w:val="16"/>
              </w:rPr>
              <w:t>Meta:</w:t>
            </w:r>
            <w:r>
              <w:rPr>
                <w:rFonts w:ascii="Arial Narrow" w:hAnsi="Arial Narrow"/>
                <w:sz w:val="16"/>
              </w:rPr>
              <w:t xml:space="preserve"> SA</w:t>
            </w:r>
            <w:r>
              <w:rPr>
                <w:rFonts w:ascii="Arial Narrow" w:hAnsi="Arial Narrow"/>
                <w:sz w:val="16"/>
                <w:highlight w:val="yellow"/>
              </w:rPr>
              <w:br/>
            </w:r>
            <w:r>
              <w:rPr>
                <w:rFonts w:ascii="Arial Narrow" w:hAnsi="Arial Narrow"/>
                <w:sz w:val="16"/>
                <w:highlight w:val="yellow"/>
              </w:rPr>
              <w:br/>
            </w:r>
            <w:r w:rsidRPr="001D2CD4">
              <w:rPr>
                <w:rFonts w:ascii="Arial Narrow" w:hAnsi="Arial Narrow"/>
                <w:sz w:val="16"/>
              </w:rPr>
              <w:t>PERIODICIDAD: TRIMESTRAL</w:t>
            </w:r>
          </w:p>
          <w:p w:rsidR="00CB2EC9" w:rsidRPr="00E80AF7" w:rsidRDefault="00CB2EC9" w:rsidP="00CB2E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Align w:val="center"/>
          </w:tcPr>
          <w:p w:rsidR="00CB2EC9" w:rsidRPr="00183EE7" w:rsidRDefault="00CB2EC9" w:rsidP="00CB2E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183EE7">
              <w:rPr>
                <w:rFonts w:ascii="Arial Narrow" w:hAnsi="Arial Narrow"/>
                <w:sz w:val="16"/>
              </w:rPr>
              <w:t>1</w:t>
            </w:r>
            <w:r>
              <w:rPr>
                <w:rFonts w:ascii="Arial Narrow" w:hAnsi="Arial Narrow"/>
                <w:sz w:val="16"/>
              </w:rPr>
              <w:t>-4</w:t>
            </w:r>
          </w:p>
        </w:tc>
        <w:tc>
          <w:tcPr>
            <w:tcW w:w="6643" w:type="dxa"/>
          </w:tcPr>
          <w:p w:rsidR="00CB2EC9" w:rsidRDefault="00CB2EC9" w:rsidP="00CB2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*Cálculo de transmisiones patrimoniales</w:t>
            </w:r>
          </w:p>
          <w:p w:rsidR="00CB2EC9" w:rsidRDefault="00CB2EC9" w:rsidP="00CB2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*Registro de Transmisión patrimonial.</w:t>
            </w:r>
          </w:p>
          <w:p w:rsidR="00CB2EC9" w:rsidRDefault="00CB2EC9" w:rsidP="00CB2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*Fusión de cuentas catastrales.</w:t>
            </w:r>
          </w:p>
          <w:p w:rsidR="00CB2EC9" w:rsidRDefault="00CB2EC9" w:rsidP="00CB2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*Inscripción de predio irregulares, por medio de Programas que den certeza jurídica a los propietarios.</w:t>
            </w:r>
          </w:p>
          <w:p w:rsidR="00CB2EC9" w:rsidRDefault="00CB2EC9" w:rsidP="00CB2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*Excedencia de terreno. </w:t>
            </w:r>
          </w:p>
          <w:p w:rsidR="00CB2EC9" w:rsidRDefault="00CB2EC9" w:rsidP="00CB2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*Rectificación de valores catastrales.</w:t>
            </w:r>
          </w:p>
          <w:p w:rsidR="00CB2EC9" w:rsidRDefault="00CB2EC9" w:rsidP="00CB2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*Rectificación de la tasa.</w:t>
            </w:r>
          </w:p>
          <w:p w:rsidR="00CB2EC9" w:rsidRDefault="00CB2EC9" w:rsidP="00CB2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CB2EC9" w:rsidRPr="00E80AF7" w:rsidRDefault="00CB2EC9" w:rsidP="00CB2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28" w:type="dxa"/>
          </w:tcPr>
          <w:p w:rsidR="00CB2EC9" w:rsidRPr="008A34F6" w:rsidRDefault="00CB2EC9" w:rsidP="00CB2EC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8A34F6">
              <w:rPr>
                <w:rFonts w:ascii="Arial Narrow" w:hAnsi="Arial Narrow"/>
                <w:sz w:val="16"/>
              </w:rPr>
              <w:t xml:space="preserve">Expediente con datos. </w:t>
            </w:r>
          </w:p>
        </w:tc>
      </w:tr>
      <w:tr w:rsidR="00DD722A" w:rsidRPr="00915D01" w:rsidTr="00973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</w:tcPr>
          <w:p w:rsidR="00DD722A" w:rsidRPr="00E80AF7" w:rsidRDefault="00DD722A" w:rsidP="00DD722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40" w:type="dxa"/>
            <w:vMerge/>
          </w:tcPr>
          <w:p w:rsidR="00DD722A" w:rsidRPr="00E80AF7" w:rsidRDefault="00DD722A" w:rsidP="00DD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60" w:type="dxa"/>
            <w:vMerge/>
          </w:tcPr>
          <w:p w:rsidR="00DD722A" w:rsidRPr="00E80AF7" w:rsidRDefault="00DD722A" w:rsidP="00DD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00" w:type="dxa"/>
            <w:vMerge/>
          </w:tcPr>
          <w:p w:rsidR="00DD722A" w:rsidRPr="00E80AF7" w:rsidRDefault="00DD722A" w:rsidP="00DD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Align w:val="center"/>
          </w:tcPr>
          <w:p w:rsidR="00DD722A" w:rsidRPr="00183EE7" w:rsidRDefault="00DD722A" w:rsidP="00DD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1-4</w:t>
            </w:r>
          </w:p>
        </w:tc>
        <w:tc>
          <w:tcPr>
            <w:tcW w:w="6643" w:type="dxa"/>
          </w:tcPr>
          <w:p w:rsidR="00DD722A" w:rsidRDefault="00DD722A" w:rsidP="00DD72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*Certificado de inscripción de la propiedad.</w:t>
            </w:r>
          </w:p>
          <w:p w:rsidR="00DD722A" w:rsidRDefault="00DD722A" w:rsidP="00DD72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*Certificado de no inscripción de la propiedad.</w:t>
            </w:r>
          </w:p>
          <w:p w:rsidR="00DD722A" w:rsidRDefault="00DD722A" w:rsidP="00DD72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*Certificado Catastral con historia.</w:t>
            </w:r>
          </w:p>
          <w:p w:rsidR="00DD722A" w:rsidRDefault="00DD722A" w:rsidP="00DD72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*Certificado de no adeudo predial.</w:t>
            </w:r>
          </w:p>
          <w:p w:rsidR="00DD722A" w:rsidRDefault="00DD722A" w:rsidP="00DD72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*Certificaciones de documentos en copias.</w:t>
            </w:r>
          </w:p>
          <w:p w:rsidR="00DD722A" w:rsidRDefault="00DD722A" w:rsidP="00DD72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*Certificaciones de planos.</w:t>
            </w:r>
          </w:p>
          <w:p w:rsidR="00DD722A" w:rsidRDefault="00DD722A" w:rsidP="00DD72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*Elaboración de Dictamen de valor.</w:t>
            </w:r>
          </w:p>
          <w:p w:rsidR="00DD722A" w:rsidRDefault="00DD722A" w:rsidP="00DD72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*Revisión y aprobación de avalúos, presentados por peritos valuadores.</w:t>
            </w:r>
          </w:p>
          <w:p w:rsidR="00DD722A" w:rsidRDefault="00DD722A" w:rsidP="00DD72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*Recepción y Calculo de Avisos de Transmisión Patrimonial.</w:t>
            </w:r>
          </w:p>
          <w:p w:rsidR="00DD722A" w:rsidRPr="00E80AF7" w:rsidRDefault="00DD722A" w:rsidP="00DD72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28" w:type="dxa"/>
          </w:tcPr>
          <w:p w:rsidR="00DD722A" w:rsidRPr="008A34F6" w:rsidRDefault="00DD722A" w:rsidP="00DD72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8A34F6">
              <w:rPr>
                <w:rFonts w:ascii="Arial Narrow" w:hAnsi="Arial Narrow"/>
                <w:sz w:val="16"/>
              </w:rPr>
              <w:t xml:space="preserve">Expediente con datos. </w:t>
            </w:r>
          </w:p>
        </w:tc>
      </w:tr>
      <w:tr w:rsidR="00CB2EC9" w:rsidRPr="00915D01" w:rsidTr="00973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</w:tcPr>
          <w:p w:rsidR="00DD722A" w:rsidRPr="00E80AF7" w:rsidRDefault="00DD722A" w:rsidP="00DD722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40" w:type="dxa"/>
            <w:vMerge/>
          </w:tcPr>
          <w:p w:rsidR="00DD722A" w:rsidRPr="00E80AF7" w:rsidRDefault="00DD722A" w:rsidP="00DD7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60" w:type="dxa"/>
            <w:vMerge/>
          </w:tcPr>
          <w:p w:rsidR="00DD722A" w:rsidRPr="00E80AF7" w:rsidRDefault="00DD722A" w:rsidP="00DD7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00" w:type="dxa"/>
            <w:vMerge/>
          </w:tcPr>
          <w:p w:rsidR="00DD722A" w:rsidRPr="00E80AF7" w:rsidRDefault="00DD722A" w:rsidP="00DD7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 w:val="restart"/>
            <w:vAlign w:val="center"/>
          </w:tcPr>
          <w:p w:rsidR="00DD722A" w:rsidRPr="00183EE7" w:rsidRDefault="00DD722A" w:rsidP="00DD7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1-4</w:t>
            </w:r>
          </w:p>
        </w:tc>
        <w:tc>
          <w:tcPr>
            <w:tcW w:w="6643" w:type="dxa"/>
          </w:tcPr>
          <w:p w:rsidR="00DD722A" w:rsidRDefault="00DD722A" w:rsidP="00DD72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</w:t>
            </w:r>
            <w:r w:rsidRPr="004961EA">
              <w:rPr>
                <w:rFonts w:ascii="Arial Narrow" w:hAnsi="Arial Narrow"/>
                <w:sz w:val="16"/>
              </w:rPr>
              <w:t>Cobro de impuesto predial</w:t>
            </w:r>
            <w:r>
              <w:rPr>
                <w:rFonts w:ascii="Arial Narrow" w:hAnsi="Arial Narrow"/>
                <w:sz w:val="16"/>
              </w:rPr>
              <w:t>.</w:t>
            </w:r>
          </w:p>
          <w:p w:rsidR="00DD722A" w:rsidRDefault="00DD722A" w:rsidP="00DD72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*Cobro del Impuesto sobre Transmisión Patrimonial.</w:t>
            </w:r>
          </w:p>
          <w:p w:rsidR="00DD722A" w:rsidRDefault="00DD722A" w:rsidP="00DD72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*Mantener y actualizar el padrón catastral.</w:t>
            </w:r>
          </w:p>
          <w:p w:rsidR="00DD722A" w:rsidRDefault="00DD722A" w:rsidP="00DD72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*Digitalización de comprobantes de anotaciones catastrales.</w:t>
            </w:r>
          </w:p>
          <w:p w:rsidR="00DD722A" w:rsidRDefault="00DD722A" w:rsidP="00DD72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*Búsqueda de informes catastrales. </w:t>
            </w:r>
          </w:p>
          <w:p w:rsidR="00DD722A" w:rsidRDefault="00DD722A" w:rsidP="00DD72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*Aplicar las tablas de valores para el cobro del Impuesto Predial.</w:t>
            </w:r>
          </w:p>
          <w:p w:rsidR="00DD722A" w:rsidRDefault="00DD722A" w:rsidP="00DD72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 Actualización del valor fiscal mediante avalúos técnicos.</w:t>
            </w:r>
          </w:p>
          <w:p w:rsidR="00DD722A" w:rsidRDefault="00DD722A" w:rsidP="00DD72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*Atención al Contribuyente.</w:t>
            </w:r>
          </w:p>
          <w:p w:rsidR="00DD722A" w:rsidRPr="00E80AF7" w:rsidRDefault="00DD722A" w:rsidP="00DD72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28" w:type="dxa"/>
          </w:tcPr>
          <w:p w:rsidR="00DD722A" w:rsidRPr="004F63B3" w:rsidRDefault="00CB2EC9" w:rsidP="00DD722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lastRenderedPageBreak/>
              <w:t>Recibos de pago.</w:t>
            </w:r>
          </w:p>
        </w:tc>
      </w:tr>
      <w:tr w:rsidR="00DD722A" w:rsidRPr="00915D01" w:rsidTr="00973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vMerge/>
          </w:tcPr>
          <w:p w:rsidR="00DD722A" w:rsidRPr="00E80AF7" w:rsidRDefault="00DD722A" w:rsidP="00DD722A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340" w:type="dxa"/>
            <w:vMerge/>
          </w:tcPr>
          <w:p w:rsidR="00DD722A" w:rsidRPr="00E80AF7" w:rsidRDefault="00DD722A" w:rsidP="00DD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60" w:type="dxa"/>
            <w:vMerge/>
          </w:tcPr>
          <w:p w:rsidR="00DD722A" w:rsidRPr="00E80AF7" w:rsidRDefault="00DD722A" w:rsidP="00DD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200" w:type="dxa"/>
            <w:vMerge/>
          </w:tcPr>
          <w:p w:rsidR="00DD722A" w:rsidRPr="00E80AF7" w:rsidRDefault="00DD722A" w:rsidP="00DD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889" w:type="dxa"/>
            <w:vMerge/>
          </w:tcPr>
          <w:p w:rsidR="00DD722A" w:rsidRPr="00E80AF7" w:rsidRDefault="00DD722A" w:rsidP="00DD72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6643" w:type="dxa"/>
          </w:tcPr>
          <w:p w:rsidR="00894808" w:rsidRDefault="00894808" w:rsidP="008948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894808" w:rsidRDefault="00894808" w:rsidP="008948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CB2EC9">
              <w:rPr>
                <w:rFonts w:ascii="Arial Narrow" w:hAnsi="Arial Narrow"/>
                <w:sz w:val="16"/>
              </w:rPr>
              <w:t>*Realización de</w:t>
            </w:r>
            <w:r>
              <w:rPr>
                <w:rFonts w:ascii="Arial Narrow" w:hAnsi="Arial Narrow"/>
                <w:sz w:val="16"/>
              </w:rPr>
              <w:t>l proyecto tabla de valores.</w:t>
            </w:r>
          </w:p>
          <w:p w:rsidR="00894808" w:rsidRDefault="00894808" w:rsidP="00DD72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  <w:p w:rsidR="00CB2EC9" w:rsidRDefault="00CB2EC9" w:rsidP="00DD72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*Sesionar con el Consejo Técnico de Catastro Municipal, ante el cual, la dirección de catastro municipal presenta su proyecto de tablas de valores catastrales para el ejercicio fiscal 2021 y sean aprobadas por dicho consejo y posterior a ello se enviarán al Consejo Técnico Catastral Municipal del Estado de Jalisco.</w:t>
            </w:r>
          </w:p>
          <w:p w:rsidR="00DD722A" w:rsidRPr="00E80AF7" w:rsidRDefault="00DD722A" w:rsidP="00DD72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028" w:type="dxa"/>
          </w:tcPr>
          <w:p w:rsidR="00DD722A" w:rsidRPr="004F63B3" w:rsidRDefault="00DD722A" w:rsidP="00DD72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</w:tr>
    </w:tbl>
    <w:p w:rsidR="008B3C1E" w:rsidRDefault="008B3C1E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  <w:r w:rsidRPr="00526C5D">
        <w:rPr>
          <w:rFonts w:ascii="Arial Narrow" w:hAnsi="Arial Narrow"/>
          <w:b/>
          <w:sz w:val="24"/>
        </w:rPr>
        <w:t>6. METAS INSTITU</w:t>
      </w:r>
      <w:r>
        <w:rPr>
          <w:rFonts w:ascii="Arial Narrow" w:hAnsi="Arial Narrow"/>
          <w:b/>
          <w:sz w:val="24"/>
        </w:rPr>
        <w:t>C</w:t>
      </w:r>
      <w:r w:rsidRPr="00526C5D">
        <w:rPr>
          <w:rFonts w:ascii="Arial Narrow" w:hAnsi="Arial Narrow"/>
          <w:b/>
          <w:sz w:val="24"/>
        </w:rPr>
        <w:t>IONALES</w:t>
      </w:r>
    </w:p>
    <w:p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Tabladecuadrcula4-nfasis31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3B76D6" w:rsidTr="00A32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8"/>
              </w:rPr>
              <w:t xml:space="preserve">MATRIZ DE </w:t>
            </w:r>
            <w:r w:rsidR="00CB2EC9">
              <w:rPr>
                <w:rFonts w:ascii="Arial Narrow" w:hAnsi="Arial Narrow"/>
                <w:sz w:val="28"/>
              </w:rPr>
              <w:t>INDICADORES PARA RESULTADOS 2020</w:t>
            </w:r>
          </w:p>
        </w:tc>
      </w:tr>
      <w:tr w:rsidR="003B76D6" w:rsidTr="00A3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:rsidR="003B76D6" w:rsidRDefault="003B76D6" w:rsidP="003B76D6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 w:rsidRPr="00B85CA4">
              <w:rPr>
                <w:rFonts w:ascii="Arial Narrow" w:hAnsi="Arial Narrow"/>
                <w:b w:val="0"/>
                <w:color w:val="FF0000"/>
                <w:sz w:val="24"/>
              </w:rPr>
              <w:t xml:space="preserve">Programa Presupuestario: </w:t>
            </w:r>
          </w:p>
        </w:tc>
      </w:tr>
      <w:tr w:rsidR="003B76D6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4"/>
              </w:rPr>
              <w:t>Nivel de MIR</w:t>
            </w:r>
          </w:p>
        </w:tc>
        <w:tc>
          <w:tcPr>
            <w:tcW w:w="4820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 MIR</w:t>
            </w:r>
          </w:p>
        </w:tc>
        <w:tc>
          <w:tcPr>
            <w:tcW w:w="5386" w:type="dxa"/>
          </w:tcPr>
          <w:p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Nombre del Indicador</w:t>
            </w:r>
          </w:p>
        </w:tc>
        <w:tc>
          <w:tcPr>
            <w:tcW w:w="1701" w:type="dxa"/>
          </w:tcPr>
          <w:p w:rsidR="003B76D6" w:rsidRDefault="00CB2EC9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Meta 2020</w:t>
            </w:r>
          </w:p>
        </w:tc>
      </w:tr>
    </w:tbl>
    <w:p w:rsidR="003B76D6" w:rsidRDefault="003B76D6"/>
    <w:tbl>
      <w:tblPr>
        <w:tblStyle w:val="Tabladecuadrcula6concolores-nfasis31"/>
        <w:tblW w:w="13603" w:type="dxa"/>
        <w:tblLook w:val="04A0" w:firstRow="1" w:lastRow="0" w:firstColumn="1" w:lastColumn="0" w:noHBand="0" w:noVBand="1"/>
      </w:tblPr>
      <w:tblGrid>
        <w:gridCol w:w="1696"/>
        <w:gridCol w:w="4820"/>
        <w:gridCol w:w="5386"/>
        <w:gridCol w:w="1701"/>
      </w:tblGrid>
      <w:tr w:rsidR="003B76D6" w:rsidRPr="00A322A9" w:rsidTr="00B85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Fin</w:t>
            </w:r>
          </w:p>
        </w:tc>
        <w:tc>
          <w:tcPr>
            <w:tcW w:w="4820" w:type="dxa"/>
          </w:tcPr>
          <w:p w:rsidR="003B76D6" w:rsidRPr="00E80AF7" w:rsidRDefault="000C6BFC" w:rsidP="00390F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  <w:highlight w:val="yellow"/>
              </w:rPr>
            </w:pPr>
            <w:r w:rsidRPr="000C6BFC">
              <w:rPr>
                <w:rFonts w:ascii="Arial Narrow" w:hAnsi="Arial Narrow"/>
                <w:sz w:val="16"/>
                <w:szCs w:val="24"/>
              </w:rPr>
              <w:t>Contribuir al mejoramiento de la recaudación municipal</w:t>
            </w:r>
            <w:r w:rsidR="00894808">
              <w:rPr>
                <w:rFonts w:ascii="Arial Narrow" w:hAnsi="Arial Narrow"/>
                <w:sz w:val="16"/>
                <w:szCs w:val="24"/>
              </w:rPr>
              <w:t xml:space="preserve"> y </w:t>
            </w:r>
            <w:r w:rsidR="00390F07">
              <w:rPr>
                <w:rFonts w:ascii="Arial Narrow" w:hAnsi="Arial Narrow"/>
                <w:sz w:val="16"/>
                <w:szCs w:val="24"/>
              </w:rPr>
              <w:t xml:space="preserve">lograr la actualización de nuestro sistema por medio </w:t>
            </w:r>
            <w:r w:rsidR="00894808">
              <w:rPr>
                <w:rFonts w:ascii="Arial Narrow" w:hAnsi="Arial Narrow"/>
                <w:sz w:val="16"/>
                <w:szCs w:val="24"/>
              </w:rPr>
              <w:t>del registro y avalúos técnicos</w:t>
            </w:r>
            <w:r>
              <w:rPr>
                <w:rFonts w:ascii="Arial Narrow" w:hAnsi="Arial Narrow"/>
                <w:sz w:val="16"/>
                <w:szCs w:val="24"/>
              </w:rPr>
              <w:t xml:space="preserve">. </w:t>
            </w:r>
          </w:p>
        </w:tc>
        <w:tc>
          <w:tcPr>
            <w:tcW w:w="5386" w:type="dxa"/>
          </w:tcPr>
          <w:p w:rsidR="003B76D6" w:rsidRPr="00E80AF7" w:rsidRDefault="004F63B3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  <w:highlight w:val="yellow"/>
              </w:rPr>
            </w:pPr>
            <w:r w:rsidRPr="004F63B3">
              <w:rPr>
                <w:rFonts w:ascii="Arial Narrow" w:hAnsi="Arial Narrow"/>
                <w:sz w:val="16"/>
                <w:szCs w:val="24"/>
              </w:rPr>
              <w:t>Programas de recaudación temprana y a tiempo; se implementa de manera personal a los usuarios y se realiza notificando a los titulares</w:t>
            </w:r>
            <w:r>
              <w:rPr>
                <w:rFonts w:ascii="Arial Narrow" w:hAnsi="Arial Narrow"/>
                <w:sz w:val="16"/>
                <w:szCs w:val="24"/>
              </w:rPr>
              <w:t xml:space="preserve"> de cuentas sosegadas. </w:t>
            </w:r>
          </w:p>
        </w:tc>
        <w:tc>
          <w:tcPr>
            <w:tcW w:w="1701" w:type="dxa"/>
          </w:tcPr>
          <w:p w:rsidR="003B76D6" w:rsidRPr="00106E07" w:rsidRDefault="003B76D6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106E07">
              <w:rPr>
                <w:rFonts w:ascii="Arial Narrow" w:hAnsi="Arial Narrow"/>
                <w:sz w:val="16"/>
                <w:szCs w:val="24"/>
              </w:rPr>
              <w:t>1.00</w:t>
            </w:r>
          </w:p>
          <w:p w:rsidR="000C6BFC" w:rsidRPr="00106E07" w:rsidRDefault="000C6BFC" w:rsidP="003B76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24"/>
              </w:rPr>
            </w:pPr>
          </w:p>
        </w:tc>
      </w:tr>
      <w:tr w:rsidR="003B76D6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Propósito</w:t>
            </w:r>
          </w:p>
        </w:tc>
        <w:tc>
          <w:tcPr>
            <w:tcW w:w="4820" w:type="dxa"/>
          </w:tcPr>
          <w:p w:rsidR="003B76D6" w:rsidRPr="000C6BFC" w:rsidRDefault="00F97E8D" w:rsidP="00A322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F</w:t>
            </w:r>
            <w:r w:rsidR="004A2DC0">
              <w:rPr>
                <w:rFonts w:ascii="Arial Narrow" w:hAnsi="Arial Narrow"/>
                <w:sz w:val="16"/>
                <w:szCs w:val="24"/>
              </w:rPr>
              <w:t>ortalece</w:t>
            </w:r>
            <w:r>
              <w:rPr>
                <w:rFonts w:ascii="Arial Narrow" w:hAnsi="Arial Narrow"/>
                <w:sz w:val="16"/>
                <w:szCs w:val="24"/>
              </w:rPr>
              <w:t xml:space="preserve"> la economía </w:t>
            </w:r>
            <w:r w:rsidR="004A2DC0">
              <w:rPr>
                <w:rFonts w:ascii="Arial Narrow" w:hAnsi="Arial Narrow"/>
                <w:sz w:val="16"/>
                <w:szCs w:val="24"/>
              </w:rPr>
              <w:t>municipal,</w:t>
            </w:r>
            <w:r w:rsidR="00390F07">
              <w:rPr>
                <w:rFonts w:ascii="Arial Narrow" w:hAnsi="Arial Narrow"/>
                <w:sz w:val="16"/>
                <w:szCs w:val="24"/>
              </w:rPr>
              <w:t xml:space="preserve"> dando así pauta a que se establezca en la población</w:t>
            </w:r>
            <w:r>
              <w:rPr>
                <w:rFonts w:ascii="Arial Narrow" w:hAnsi="Arial Narrow"/>
                <w:sz w:val="16"/>
                <w:szCs w:val="24"/>
              </w:rPr>
              <w:t xml:space="preserve"> una ideología de cumplimiento en el pago </w:t>
            </w:r>
            <w:r w:rsidR="004A2DC0">
              <w:rPr>
                <w:rFonts w:ascii="Arial Narrow" w:hAnsi="Arial Narrow"/>
                <w:sz w:val="16"/>
                <w:szCs w:val="24"/>
              </w:rPr>
              <w:t xml:space="preserve"> de impuesto.</w:t>
            </w:r>
          </w:p>
        </w:tc>
        <w:tc>
          <w:tcPr>
            <w:tcW w:w="5386" w:type="dxa"/>
          </w:tcPr>
          <w:p w:rsidR="003B76D6" w:rsidRPr="00E80AF7" w:rsidRDefault="004F63B3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4F63B3">
              <w:rPr>
                <w:rFonts w:ascii="Arial Narrow" w:hAnsi="Arial Narrow"/>
                <w:sz w:val="16"/>
                <w:szCs w:val="24"/>
              </w:rPr>
              <w:t xml:space="preserve">Programa de concientización de pago puntual. </w:t>
            </w:r>
          </w:p>
        </w:tc>
        <w:tc>
          <w:tcPr>
            <w:tcW w:w="1701" w:type="dxa"/>
          </w:tcPr>
          <w:p w:rsidR="003B76D6" w:rsidRPr="00106E07" w:rsidRDefault="003B76D6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106E07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3B76D6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Componente 1</w:t>
            </w:r>
          </w:p>
        </w:tc>
        <w:tc>
          <w:tcPr>
            <w:tcW w:w="4820" w:type="dxa"/>
          </w:tcPr>
          <w:p w:rsidR="003B76D6" w:rsidRPr="00E80AF7" w:rsidRDefault="004A2DC0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4A2DC0">
              <w:rPr>
                <w:rFonts w:ascii="Arial Narrow" w:hAnsi="Arial Narrow"/>
                <w:b/>
                <w:sz w:val="16"/>
                <w:szCs w:val="24"/>
              </w:rPr>
              <w:t xml:space="preserve">Plan de recaudación implementado, se identificaron, mediante búsqueda en sistema y en campo, los sectores con mayor rezago en pago de impuesto predial. </w:t>
            </w:r>
          </w:p>
        </w:tc>
        <w:tc>
          <w:tcPr>
            <w:tcW w:w="5386" w:type="dxa"/>
          </w:tcPr>
          <w:p w:rsidR="003B76D6" w:rsidRPr="00E80AF7" w:rsidRDefault="001D2CD4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>
              <w:rPr>
                <w:rFonts w:ascii="Arial Narrow" w:hAnsi="Arial Narrow"/>
                <w:sz w:val="16"/>
                <w:szCs w:val="24"/>
              </w:rPr>
              <w:t>Ubicación de sectores mediante búsqueda en sistema y registros, elaboración de padrón de cuentas morosas.</w:t>
            </w:r>
            <w:r w:rsidR="00390F07">
              <w:rPr>
                <w:rFonts w:ascii="Arial Narrow" w:hAnsi="Arial Narrow"/>
                <w:sz w:val="16"/>
                <w:szCs w:val="24"/>
              </w:rPr>
              <w:br/>
              <w:t xml:space="preserve">Vaciado de cuentas rezagadas y cobro mediante notificación. </w:t>
            </w:r>
          </w:p>
        </w:tc>
        <w:tc>
          <w:tcPr>
            <w:tcW w:w="1701" w:type="dxa"/>
          </w:tcPr>
          <w:p w:rsidR="003B76D6" w:rsidRPr="00106E07" w:rsidRDefault="003B76D6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106E07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3B76D6" w:rsidRPr="00A322A9" w:rsidTr="00B85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1.1</w:t>
            </w:r>
          </w:p>
        </w:tc>
        <w:tc>
          <w:tcPr>
            <w:tcW w:w="4820" w:type="dxa"/>
          </w:tcPr>
          <w:p w:rsidR="003B76D6" w:rsidRPr="00E80AF7" w:rsidRDefault="004A2DC0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4A2DC0">
              <w:rPr>
                <w:rFonts w:ascii="Arial Narrow" w:hAnsi="Arial Narrow"/>
                <w:sz w:val="16"/>
                <w:szCs w:val="24"/>
              </w:rPr>
              <w:t xml:space="preserve">Ejecutar inspección </w:t>
            </w:r>
            <w:r w:rsidR="00390F07">
              <w:rPr>
                <w:rFonts w:ascii="Arial Narrow" w:hAnsi="Arial Narrow"/>
                <w:sz w:val="16"/>
                <w:szCs w:val="24"/>
              </w:rPr>
              <w:t xml:space="preserve">de campo y revisión de oficina para tener un expediente </w:t>
            </w:r>
            <w:proofErr w:type="spellStart"/>
            <w:r w:rsidR="00390F07">
              <w:rPr>
                <w:rFonts w:ascii="Arial Narrow" w:hAnsi="Arial Narrow"/>
                <w:sz w:val="16"/>
                <w:szCs w:val="24"/>
              </w:rPr>
              <w:t>mas</w:t>
            </w:r>
            <w:proofErr w:type="spellEnd"/>
            <w:r w:rsidR="00390F07">
              <w:rPr>
                <w:rFonts w:ascii="Arial Narrow" w:hAnsi="Arial Narrow"/>
                <w:sz w:val="16"/>
                <w:szCs w:val="24"/>
              </w:rPr>
              <w:t xml:space="preserve"> nutrido.</w:t>
            </w:r>
          </w:p>
        </w:tc>
        <w:tc>
          <w:tcPr>
            <w:tcW w:w="5386" w:type="dxa"/>
          </w:tcPr>
          <w:p w:rsidR="003B76D6" w:rsidRPr="00E80AF7" w:rsidRDefault="001D2CD4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1D2CD4">
              <w:rPr>
                <w:rFonts w:ascii="Arial Narrow" w:hAnsi="Arial Narrow"/>
                <w:sz w:val="16"/>
                <w:szCs w:val="24"/>
              </w:rPr>
              <w:t xml:space="preserve">El </w:t>
            </w:r>
            <w:r w:rsidR="00390F07" w:rsidRPr="001D2CD4">
              <w:rPr>
                <w:rFonts w:ascii="Arial Narrow" w:hAnsi="Arial Narrow"/>
                <w:sz w:val="16"/>
                <w:szCs w:val="24"/>
              </w:rPr>
              <w:t>personal (</w:t>
            </w:r>
            <w:r w:rsidRPr="001D2CD4">
              <w:rPr>
                <w:rFonts w:ascii="Arial Narrow" w:hAnsi="Arial Narrow"/>
                <w:sz w:val="16"/>
                <w:szCs w:val="24"/>
              </w:rPr>
              <w:t xml:space="preserve">apoyado de prestadores de </w:t>
            </w:r>
            <w:r w:rsidR="00390F07" w:rsidRPr="001D2CD4">
              <w:rPr>
                <w:rFonts w:ascii="Arial Narrow" w:hAnsi="Arial Narrow"/>
                <w:sz w:val="16"/>
                <w:szCs w:val="24"/>
              </w:rPr>
              <w:t>servicio)</w:t>
            </w:r>
            <w:r w:rsidRPr="001D2CD4">
              <w:rPr>
                <w:rFonts w:ascii="Arial Narrow" w:hAnsi="Arial Narrow"/>
                <w:sz w:val="16"/>
                <w:szCs w:val="24"/>
              </w:rPr>
              <w:t xml:space="preserve"> darán lugar a la búsqueda de usuarios propietarios de cuentas, con relación a la búsqueda en el sistema. </w:t>
            </w:r>
          </w:p>
        </w:tc>
        <w:tc>
          <w:tcPr>
            <w:tcW w:w="1701" w:type="dxa"/>
          </w:tcPr>
          <w:p w:rsidR="003B76D6" w:rsidRPr="00106E07" w:rsidRDefault="00106E07" w:rsidP="003B7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106E07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3B76D6" w:rsidRPr="00A322A9" w:rsidTr="00B85C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B76D6" w:rsidRPr="00A322A9" w:rsidRDefault="003B76D6" w:rsidP="003B76D6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1.2</w:t>
            </w:r>
          </w:p>
        </w:tc>
        <w:tc>
          <w:tcPr>
            <w:tcW w:w="4820" w:type="dxa"/>
          </w:tcPr>
          <w:p w:rsidR="003B76D6" w:rsidRPr="00E80AF7" w:rsidRDefault="004A2DC0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4A2DC0">
              <w:rPr>
                <w:rFonts w:ascii="Arial Narrow" w:hAnsi="Arial Narrow"/>
                <w:sz w:val="16"/>
                <w:szCs w:val="24"/>
              </w:rPr>
              <w:t>Celebrar convenios mediante los cuales se comprometa a los morosos</w:t>
            </w:r>
            <w:r w:rsidR="00183EE7">
              <w:rPr>
                <w:rFonts w:ascii="Arial Narrow" w:hAnsi="Arial Narrow"/>
                <w:sz w:val="16"/>
                <w:szCs w:val="24"/>
              </w:rPr>
              <w:t xml:space="preserve"> con mayor atraso, a realizar el pago e</w:t>
            </w:r>
            <w:r w:rsidR="003E4BD1">
              <w:rPr>
                <w:rFonts w:ascii="Arial Narrow" w:hAnsi="Arial Narrow"/>
                <w:sz w:val="16"/>
                <w:szCs w:val="24"/>
              </w:rPr>
              <w:t>n</w:t>
            </w:r>
            <w:r w:rsidR="00183EE7">
              <w:rPr>
                <w:rFonts w:ascii="Arial Narrow" w:hAnsi="Arial Narrow"/>
                <w:sz w:val="16"/>
                <w:szCs w:val="24"/>
              </w:rPr>
              <w:t xml:space="preserve"> manera seccional o en una sola exhibición. </w:t>
            </w:r>
            <w:r w:rsidRPr="004A2DC0">
              <w:rPr>
                <w:rFonts w:ascii="Arial Narrow" w:hAnsi="Arial Narrow"/>
                <w:sz w:val="16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3B76D6" w:rsidRPr="00E80AF7" w:rsidRDefault="004F63B3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4F63B3">
              <w:rPr>
                <w:rFonts w:ascii="Arial Narrow" w:hAnsi="Arial Narrow"/>
                <w:sz w:val="16"/>
                <w:szCs w:val="24"/>
              </w:rPr>
              <w:t xml:space="preserve">Formatos de convenio </w:t>
            </w:r>
            <w:r w:rsidR="00390F07">
              <w:rPr>
                <w:rFonts w:ascii="Arial Narrow" w:hAnsi="Arial Narrow"/>
                <w:sz w:val="16"/>
                <w:szCs w:val="24"/>
              </w:rPr>
              <w:t xml:space="preserve">de pago </w:t>
            </w:r>
            <w:r w:rsidRPr="004F63B3">
              <w:rPr>
                <w:rFonts w:ascii="Arial Narrow" w:hAnsi="Arial Narrow"/>
                <w:sz w:val="16"/>
                <w:szCs w:val="24"/>
              </w:rPr>
              <w:t>pre establecidos entre la dirección de catastro y los usuarios.</w:t>
            </w:r>
          </w:p>
        </w:tc>
        <w:tc>
          <w:tcPr>
            <w:tcW w:w="1701" w:type="dxa"/>
          </w:tcPr>
          <w:p w:rsidR="003B76D6" w:rsidRPr="00106E07" w:rsidRDefault="00B85CA4" w:rsidP="003B76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106E07">
              <w:rPr>
                <w:rFonts w:ascii="Arial Narrow" w:hAnsi="Arial Narrow"/>
                <w:b/>
                <w:sz w:val="16"/>
                <w:szCs w:val="24"/>
              </w:rPr>
              <w:t>1</w:t>
            </w:r>
            <w:r w:rsidR="00106E07" w:rsidRPr="00106E07">
              <w:rPr>
                <w:rFonts w:ascii="Arial Narrow" w:hAnsi="Arial Narrow"/>
                <w:b/>
                <w:sz w:val="16"/>
                <w:szCs w:val="24"/>
              </w:rPr>
              <w:t>.</w:t>
            </w:r>
            <w:r w:rsidRPr="00106E07">
              <w:rPr>
                <w:rFonts w:ascii="Arial Narrow" w:hAnsi="Arial Narrow"/>
                <w:b/>
                <w:sz w:val="16"/>
                <w:szCs w:val="24"/>
              </w:rPr>
              <w:t>00</w:t>
            </w:r>
          </w:p>
        </w:tc>
      </w:tr>
    </w:tbl>
    <w:p w:rsidR="00526C5D" w:rsidRPr="00A322A9" w:rsidRDefault="00526C5D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sectPr w:rsidR="00526C5D" w:rsidRPr="00A322A9" w:rsidSect="00526C5D">
      <w:headerReference w:type="default" r:id="rId6"/>
      <w:pgSz w:w="15840" w:h="12240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D8" w:rsidRDefault="00EB11D8" w:rsidP="00236142">
      <w:pPr>
        <w:spacing w:after="0" w:line="240" w:lineRule="auto"/>
      </w:pPr>
      <w:r>
        <w:separator/>
      </w:r>
    </w:p>
  </w:endnote>
  <w:endnote w:type="continuationSeparator" w:id="0">
    <w:p w:rsidR="00EB11D8" w:rsidRDefault="00EB11D8" w:rsidP="0023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D8" w:rsidRDefault="00EB11D8" w:rsidP="00236142">
      <w:pPr>
        <w:spacing w:after="0" w:line="240" w:lineRule="auto"/>
      </w:pPr>
      <w:r>
        <w:separator/>
      </w:r>
    </w:p>
  </w:footnote>
  <w:footnote w:type="continuationSeparator" w:id="0">
    <w:p w:rsidR="00EB11D8" w:rsidRDefault="00EB11D8" w:rsidP="0023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noProof/>
        <w:sz w:val="28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524000" cy="92646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8"/>
      </w:rPr>
      <w:t>MUNICIPIO DE GÓMEZ FARÍ</w:t>
    </w:r>
    <w:r w:rsidRPr="00236142">
      <w:rPr>
        <w:rFonts w:ascii="Arial Narrow" w:hAnsi="Arial Narrow"/>
        <w:b/>
        <w:sz w:val="28"/>
      </w:rPr>
      <w:t>AS JALISCO</w:t>
    </w:r>
  </w:p>
  <w:p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 w:rsidRPr="00236142">
      <w:rPr>
        <w:rFonts w:ascii="Arial Narrow" w:hAnsi="Arial Narrow"/>
        <w:b/>
        <w:sz w:val="28"/>
      </w:rPr>
      <w:t xml:space="preserve">PROGRAMA </w:t>
    </w:r>
    <w:r w:rsidR="00CB2EC9">
      <w:rPr>
        <w:rFonts w:ascii="Arial Narrow" w:hAnsi="Arial Narrow"/>
        <w:b/>
        <w:sz w:val="28"/>
      </w:rPr>
      <w:t>ANUAL DE TRABAJO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42"/>
    <w:rsid w:val="000C6BFC"/>
    <w:rsid w:val="000F046F"/>
    <w:rsid w:val="00106E07"/>
    <w:rsid w:val="001721CC"/>
    <w:rsid w:val="00183EE7"/>
    <w:rsid w:val="001D2CD4"/>
    <w:rsid w:val="00236142"/>
    <w:rsid w:val="00390F07"/>
    <w:rsid w:val="003B097B"/>
    <w:rsid w:val="003B76D6"/>
    <w:rsid w:val="003C0231"/>
    <w:rsid w:val="003E4BD1"/>
    <w:rsid w:val="004A2DC0"/>
    <w:rsid w:val="004F63B3"/>
    <w:rsid w:val="00526C5D"/>
    <w:rsid w:val="005607BD"/>
    <w:rsid w:val="006549E1"/>
    <w:rsid w:val="00683AE0"/>
    <w:rsid w:val="007F5B0A"/>
    <w:rsid w:val="00857AD7"/>
    <w:rsid w:val="00894808"/>
    <w:rsid w:val="008A34F6"/>
    <w:rsid w:val="008B0C8B"/>
    <w:rsid w:val="008B3C1E"/>
    <w:rsid w:val="00915D01"/>
    <w:rsid w:val="00973502"/>
    <w:rsid w:val="009B7283"/>
    <w:rsid w:val="009E671C"/>
    <w:rsid w:val="00A322A9"/>
    <w:rsid w:val="00B10E2A"/>
    <w:rsid w:val="00B85CA4"/>
    <w:rsid w:val="00BD1E4A"/>
    <w:rsid w:val="00C303F0"/>
    <w:rsid w:val="00CB2EC9"/>
    <w:rsid w:val="00D14B2B"/>
    <w:rsid w:val="00D443FA"/>
    <w:rsid w:val="00D82451"/>
    <w:rsid w:val="00DD722A"/>
    <w:rsid w:val="00DE17AF"/>
    <w:rsid w:val="00E31172"/>
    <w:rsid w:val="00E80AF7"/>
    <w:rsid w:val="00EB11D8"/>
    <w:rsid w:val="00F92B9A"/>
    <w:rsid w:val="00F97E8D"/>
    <w:rsid w:val="00FE0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3D0F5B60"/>
  <w15:docId w15:val="{D0A278A5-017F-4B92-9E75-6136AE75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2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142"/>
  </w:style>
  <w:style w:type="paragraph" w:styleId="Piedepgina">
    <w:name w:val="footer"/>
    <w:basedOn w:val="Normal"/>
    <w:link w:val="Piedepgina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42"/>
  </w:style>
  <w:style w:type="paragraph" w:styleId="Prrafodelista">
    <w:name w:val="List Paragraph"/>
    <w:basedOn w:val="Normal"/>
    <w:uiPriority w:val="34"/>
    <w:qFormat/>
    <w:rsid w:val="007F5B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uiPriority w:val="49"/>
    <w:rsid w:val="007F5B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A322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independiente">
    <w:name w:val="Body Text"/>
    <w:basedOn w:val="Normal"/>
    <w:link w:val="TextoindependienteCar"/>
    <w:rsid w:val="00106E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6E07"/>
    <w:rPr>
      <w:rFonts w:ascii="Times New Roman" w:eastAsia="Times New Roman" w:hAnsi="Times New Roman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2021-03-18T19:41:00Z</dcterms:created>
  <dcterms:modified xsi:type="dcterms:W3CDTF">2021-03-18T22:37:00Z</dcterms:modified>
</cp:coreProperties>
</file>