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272727" w:themeColor="text1" w:themeTint="D8"/>
  <w:body>
    <w:p w14:paraId="77743905" w14:textId="26B1FF14" w:rsidR="00457A88" w:rsidRPr="004E2068" w:rsidRDefault="00457A88" w:rsidP="004E2068">
      <w:pPr>
        <w:pBdr>
          <w:bottom w:val="single" w:sz="4" w:space="1" w:color="CCCC00"/>
        </w:pBdr>
        <w:jc w:val="center"/>
        <w:rPr>
          <w:rFonts w:ascii="Calibri Light" w:eastAsia="Microsoft JhengHei" w:hAnsi="Calibri Light" w:cs="Calibri Light"/>
          <w:bCs/>
          <w:sz w:val="40"/>
          <w:szCs w:val="40"/>
        </w:rPr>
      </w:pPr>
      <w:r w:rsidRPr="004E2068">
        <w:rPr>
          <w:rFonts w:ascii="Calibri Light" w:eastAsia="Microsoft JhengHei" w:hAnsi="Calibri Light" w:cs="Calibri Light"/>
          <w:bCs/>
          <w:sz w:val="40"/>
          <w:szCs w:val="40"/>
        </w:rPr>
        <w:t>SEGURIDAD PÚBLICA</w:t>
      </w:r>
    </w:p>
    <w:p w14:paraId="40BC746B" w14:textId="77777777" w:rsidR="00457A88" w:rsidRPr="004E2068" w:rsidRDefault="00457A88" w:rsidP="00FE7B88">
      <w:pPr>
        <w:jc w:val="right"/>
        <w:rPr>
          <w:rFonts w:ascii="Microsoft JhengHei" w:eastAsia="Microsoft JhengHei" w:hAnsi="Microsoft JhengHei" w:cs="Arial"/>
          <w:b/>
          <w:sz w:val="24"/>
          <w:szCs w:val="24"/>
        </w:rPr>
      </w:pPr>
    </w:p>
    <w:p w14:paraId="18CB139A" w14:textId="77777777" w:rsidR="00457A88" w:rsidRPr="004E2068" w:rsidRDefault="00457A88" w:rsidP="00576B79">
      <w:pPr>
        <w:jc w:val="both"/>
        <w:rPr>
          <w:rFonts w:ascii="Microsoft JhengHei" w:eastAsia="Microsoft JhengHei" w:hAnsi="Microsoft JhengHei" w:cs="Arial"/>
          <w:b/>
          <w:sz w:val="24"/>
          <w:szCs w:val="24"/>
        </w:rPr>
      </w:pPr>
    </w:p>
    <w:p w14:paraId="41BBAF8C" w14:textId="2124F8BB" w:rsidR="00576B79" w:rsidRPr="004E2068" w:rsidRDefault="00576B79" w:rsidP="00576B79">
      <w:pPr>
        <w:jc w:val="both"/>
        <w:rPr>
          <w:rFonts w:ascii="Century Gothic" w:eastAsia="Microsoft JhengHei" w:hAnsi="Century Gothic" w:cs="Arial"/>
          <w:b/>
          <w:sz w:val="24"/>
          <w:szCs w:val="24"/>
        </w:rPr>
      </w:pPr>
      <w:r w:rsidRPr="004E2068">
        <w:rPr>
          <w:rFonts w:ascii="Century Gothic" w:eastAsia="Microsoft JhengHei" w:hAnsi="Century Gothic" w:cs="Arial"/>
          <w:b/>
          <w:sz w:val="24"/>
          <w:szCs w:val="24"/>
        </w:rPr>
        <w:t>DIAGN</w:t>
      </w:r>
      <w:r w:rsidR="004E2068" w:rsidRPr="004E2068">
        <w:rPr>
          <w:rFonts w:ascii="Century Gothic" w:eastAsia="Microsoft JhengHei" w:hAnsi="Century Gothic" w:cs="Arial"/>
          <w:b/>
          <w:sz w:val="24"/>
          <w:szCs w:val="24"/>
        </w:rPr>
        <w:t>Ó</w:t>
      </w:r>
      <w:r w:rsidRPr="004E2068">
        <w:rPr>
          <w:rFonts w:ascii="Century Gothic" w:eastAsia="Microsoft JhengHei" w:hAnsi="Century Gothic" w:cs="Arial"/>
          <w:b/>
          <w:sz w:val="24"/>
          <w:szCs w:val="24"/>
        </w:rPr>
        <w:t>STICO</w:t>
      </w:r>
    </w:p>
    <w:p w14:paraId="584A54F7" w14:textId="77777777" w:rsidR="00576B79" w:rsidRPr="004E2068" w:rsidRDefault="00576B79" w:rsidP="004E2068">
      <w:pPr>
        <w:spacing w:line="360" w:lineRule="auto"/>
        <w:jc w:val="both"/>
        <w:rPr>
          <w:rFonts w:ascii="Microsoft JhengHei" w:eastAsia="Microsoft JhengHei" w:hAnsi="Microsoft JhengHei" w:cs="Arial"/>
          <w:sz w:val="24"/>
          <w:szCs w:val="24"/>
        </w:rPr>
      </w:pPr>
      <w:r w:rsidRPr="004E2068">
        <w:rPr>
          <w:rFonts w:ascii="Microsoft JhengHei" w:eastAsia="Microsoft JhengHei" w:hAnsi="Microsoft JhengHei" w:cs="Arial"/>
          <w:sz w:val="24"/>
          <w:szCs w:val="24"/>
        </w:rPr>
        <w:t xml:space="preserve"> La seguridad y la protección de los ciudadanos así como de sus bienes es uno de los ejes estratégicos de actuación del Gobierno de Gómez Farías, para lograr que se establezca un ambiente de armonía y paz, el ente público buscará siempre contar con un cuerpo policiaco, capacitado, que disponga del equipo y material necesario para hacer frente a su labor, pero sobre todo que atienda de forma rápida y eficiente, con calidad humana, capaz de actuar bajo los principios de legalidad, profesionalismo y honradez.</w:t>
      </w:r>
    </w:p>
    <w:p w14:paraId="5A1B0B13" w14:textId="77777777" w:rsidR="00850287" w:rsidRDefault="00576B79" w:rsidP="004E2068">
      <w:pPr>
        <w:spacing w:line="360" w:lineRule="auto"/>
        <w:jc w:val="both"/>
        <w:rPr>
          <w:rFonts w:ascii="Microsoft JhengHei" w:eastAsia="Microsoft JhengHei" w:hAnsi="Microsoft JhengHei" w:cs="Arial"/>
          <w:b/>
          <w:sz w:val="24"/>
          <w:szCs w:val="24"/>
        </w:rPr>
      </w:pPr>
      <w:r w:rsidRPr="004E2068">
        <w:rPr>
          <w:rFonts w:ascii="Microsoft JhengHei" w:eastAsia="Microsoft JhengHei" w:hAnsi="Microsoft JhengHei" w:cs="Arial"/>
          <w:sz w:val="24"/>
          <w:szCs w:val="24"/>
        </w:rPr>
        <w:t xml:space="preserve"> Las funciones de Seguridad Publica son responsabilidad de los tres órdenes de gobierno, abarca la prevención, procuración de justicia, buscando en todo momento la disolución de las problemáticas garantizando la concordia y el cuidado de la sociedad.</w:t>
      </w:r>
      <w:r w:rsidR="0066173A" w:rsidRPr="004E2068">
        <w:rPr>
          <w:rFonts w:ascii="Microsoft JhengHei" w:eastAsia="Microsoft JhengHei" w:hAnsi="Microsoft JhengHei" w:cs="Arial"/>
          <w:sz w:val="24"/>
          <w:szCs w:val="24"/>
        </w:rPr>
        <w:t xml:space="preserve"> </w:t>
      </w:r>
      <w:r w:rsidR="004A3C1E" w:rsidRPr="004E2068">
        <w:rPr>
          <w:rFonts w:ascii="Microsoft JhengHei" w:eastAsia="Microsoft JhengHei" w:hAnsi="Microsoft JhengHei" w:cs="Arial"/>
          <w:b/>
          <w:sz w:val="24"/>
          <w:szCs w:val="24"/>
        </w:rPr>
        <w:t xml:space="preserve"> </w:t>
      </w:r>
    </w:p>
    <w:p w14:paraId="2F7599C4" w14:textId="77777777" w:rsidR="00850287" w:rsidRDefault="004A3C1E" w:rsidP="004E2068">
      <w:pPr>
        <w:spacing w:line="360" w:lineRule="auto"/>
        <w:jc w:val="both"/>
        <w:rPr>
          <w:rFonts w:ascii="Microsoft JhengHei" w:eastAsia="Microsoft JhengHei" w:hAnsi="Microsoft JhengHei" w:cs="Arial"/>
          <w:sz w:val="24"/>
          <w:szCs w:val="24"/>
        </w:rPr>
      </w:pPr>
      <w:r w:rsidRPr="004E2068">
        <w:rPr>
          <w:rFonts w:ascii="Microsoft JhengHei" w:eastAsia="Microsoft JhengHei" w:hAnsi="Microsoft JhengHei" w:cs="Arial"/>
          <w:sz w:val="24"/>
          <w:szCs w:val="24"/>
        </w:rPr>
        <w:t xml:space="preserve">La Seguridad pública es una de las principales preocupaciones para la sociedad De Gómez Farías, puesto que el presente Gobierno Municipal, consiente que en la medida en que tengamos fortalecida el área, será impulsado el orden público y la recomposición del tejido social. </w:t>
      </w:r>
    </w:p>
    <w:p w14:paraId="43F7FF1D" w14:textId="77777777" w:rsidR="00850287" w:rsidRDefault="004A3C1E" w:rsidP="004E2068">
      <w:pPr>
        <w:spacing w:line="360" w:lineRule="auto"/>
        <w:jc w:val="both"/>
        <w:rPr>
          <w:rFonts w:ascii="Microsoft JhengHei" w:eastAsia="Microsoft JhengHei" w:hAnsi="Microsoft JhengHei" w:cs="Arial"/>
          <w:sz w:val="24"/>
          <w:szCs w:val="24"/>
        </w:rPr>
      </w:pPr>
      <w:r w:rsidRPr="004E2068">
        <w:rPr>
          <w:rFonts w:ascii="Microsoft JhengHei" w:eastAsia="Microsoft JhengHei" w:hAnsi="Microsoft JhengHei" w:cs="Arial"/>
          <w:sz w:val="24"/>
          <w:szCs w:val="24"/>
        </w:rPr>
        <w:t>En el municipio de Gómez Farías de acuerdo a la información del último censo estadístico del INEGI 2020, cuenta con una población de 16</w:t>
      </w:r>
      <w:r w:rsidR="00850287">
        <w:rPr>
          <w:rFonts w:ascii="Microsoft JhengHei" w:eastAsia="Microsoft JhengHei" w:hAnsi="Microsoft JhengHei" w:cs="Arial"/>
          <w:sz w:val="24"/>
          <w:szCs w:val="24"/>
        </w:rPr>
        <w:t>,</w:t>
      </w:r>
      <w:r w:rsidRPr="004E2068">
        <w:rPr>
          <w:rFonts w:ascii="Microsoft JhengHei" w:eastAsia="Microsoft JhengHei" w:hAnsi="Microsoft JhengHei" w:cs="Arial"/>
          <w:sz w:val="24"/>
          <w:szCs w:val="24"/>
        </w:rPr>
        <w:t xml:space="preserve">431 habitantes, asentados con más del 97% de la población total que de acuerdo </w:t>
      </w:r>
      <w:r w:rsidRPr="004E2068">
        <w:rPr>
          <w:rFonts w:ascii="Microsoft JhengHei" w:eastAsia="Microsoft JhengHei" w:hAnsi="Microsoft JhengHei" w:cs="Arial"/>
          <w:sz w:val="24"/>
          <w:szCs w:val="24"/>
        </w:rPr>
        <w:lastRenderedPageBreak/>
        <w:t xml:space="preserve">al Plan de Desarrollo Urbano cuenta con 8 localidades San Sebastián del Sur (cabecera municipal) San </w:t>
      </w:r>
      <w:r w:rsidR="00862674" w:rsidRPr="004E2068">
        <w:rPr>
          <w:rFonts w:ascii="Microsoft JhengHei" w:eastAsia="Microsoft JhengHei" w:hAnsi="Microsoft JhengHei" w:cs="Arial"/>
          <w:sz w:val="24"/>
          <w:szCs w:val="24"/>
        </w:rPr>
        <w:t>Andrés  Ixtlá</w:t>
      </w:r>
      <w:r w:rsidRPr="004E2068">
        <w:rPr>
          <w:rFonts w:ascii="Microsoft JhengHei" w:eastAsia="Microsoft JhengHei" w:hAnsi="Microsoft JhengHei" w:cs="Arial"/>
          <w:sz w:val="24"/>
          <w:szCs w:val="24"/>
        </w:rPr>
        <w:t>n,</w:t>
      </w:r>
      <w:r w:rsidR="00862674" w:rsidRPr="004E2068">
        <w:rPr>
          <w:rFonts w:ascii="Microsoft JhengHei" w:eastAsia="Microsoft JhengHei" w:hAnsi="Microsoft JhengHei" w:cs="Arial"/>
          <w:sz w:val="24"/>
          <w:szCs w:val="24"/>
        </w:rPr>
        <w:t xml:space="preserve"> Ejido1º de febrero</w:t>
      </w:r>
      <w:r w:rsidRPr="004E2068">
        <w:rPr>
          <w:rFonts w:ascii="Microsoft JhengHei" w:eastAsia="Microsoft JhengHei" w:hAnsi="Microsoft JhengHei" w:cs="Arial"/>
          <w:sz w:val="24"/>
          <w:szCs w:val="24"/>
        </w:rPr>
        <w:t xml:space="preserve">, el corralito, </w:t>
      </w:r>
      <w:r w:rsidR="00A2202C" w:rsidRPr="004E2068">
        <w:rPr>
          <w:rFonts w:ascii="Microsoft JhengHei" w:eastAsia="Microsoft JhengHei" w:hAnsi="Microsoft JhengHei" w:cs="Arial"/>
          <w:sz w:val="24"/>
          <w:szCs w:val="24"/>
        </w:rPr>
        <w:t>E</w:t>
      </w:r>
      <w:r w:rsidRPr="004E2068">
        <w:rPr>
          <w:rFonts w:ascii="Microsoft JhengHei" w:eastAsia="Microsoft JhengHei" w:hAnsi="Microsoft JhengHei" w:cs="Arial"/>
          <w:sz w:val="24"/>
          <w:szCs w:val="24"/>
        </w:rPr>
        <w:t>l</w:t>
      </w:r>
      <w:r w:rsidR="00A2202C" w:rsidRPr="004E2068">
        <w:rPr>
          <w:rFonts w:ascii="Microsoft JhengHei" w:eastAsia="Microsoft JhengHei" w:hAnsi="Microsoft JhengHei" w:cs="Arial"/>
          <w:sz w:val="24"/>
          <w:szCs w:val="24"/>
        </w:rPr>
        <w:t xml:space="preserve"> R</w:t>
      </w:r>
      <w:r w:rsidRPr="004E2068">
        <w:rPr>
          <w:rFonts w:ascii="Microsoft JhengHei" w:eastAsia="Microsoft JhengHei" w:hAnsi="Microsoft JhengHei" w:cs="Arial"/>
          <w:sz w:val="24"/>
          <w:szCs w:val="24"/>
        </w:rPr>
        <w:t>odeo</w:t>
      </w:r>
      <w:r w:rsidR="00862674" w:rsidRPr="004E2068">
        <w:rPr>
          <w:rFonts w:ascii="Microsoft JhengHei" w:eastAsia="Microsoft JhengHei" w:hAnsi="Microsoft JhengHei" w:cs="Arial"/>
          <w:sz w:val="24"/>
          <w:szCs w:val="24"/>
        </w:rPr>
        <w:t xml:space="preserve">, La Calaverna, </w:t>
      </w:r>
      <w:r w:rsidR="00A2202C" w:rsidRPr="004E2068">
        <w:rPr>
          <w:rFonts w:ascii="Microsoft JhengHei" w:eastAsia="Microsoft JhengHei" w:hAnsi="Microsoft JhengHei" w:cs="Arial"/>
          <w:sz w:val="24"/>
          <w:szCs w:val="24"/>
        </w:rPr>
        <w:t>Cofradía</w:t>
      </w:r>
      <w:r w:rsidR="00F14BB4" w:rsidRPr="004E2068">
        <w:rPr>
          <w:rFonts w:ascii="Microsoft JhengHei" w:eastAsia="Microsoft JhengHei" w:hAnsi="Microsoft JhengHei" w:cs="Arial"/>
          <w:sz w:val="24"/>
          <w:szCs w:val="24"/>
        </w:rPr>
        <w:t xml:space="preserve"> del Rosario, Los O</w:t>
      </w:r>
      <w:r w:rsidR="00862674" w:rsidRPr="004E2068">
        <w:rPr>
          <w:rFonts w:ascii="Microsoft JhengHei" w:eastAsia="Microsoft JhengHei" w:hAnsi="Microsoft JhengHei" w:cs="Arial"/>
          <w:sz w:val="24"/>
          <w:szCs w:val="24"/>
        </w:rPr>
        <w:t>cuares,</w:t>
      </w:r>
      <w:r w:rsidR="00A2202C" w:rsidRPr="004E2068">
        <w:rPr>
          <w:rFonts w:ascii="Microsoft JhengHei" w:eastAsia="Microsoft JhengHei" w:hAnsi="Microsoft JhengHei" w:cs="Arial"/>
          <w:sz w:val="24"/>
          <w:szCs w:val="24"/>
        </w:rPr>
        <w:t xml:space="preserve"> En congruencia con el índice de criminalidad que nos arroja Plataforma México y el informe por parte del consejo estatal de seguridad pública sobre la incidencia delictiva, los delitos más frecuentes en Gómez Farías de alto impacto, cometidos en agravio de la ciudadanía son el robo a casa habitación, extorsión telefónica, violencia familiar</w:t>
      </w:r>
      <w:r w:rsidR="00850287">
        <w:rPr>
          <w:rFonts w:ascii="Microsoft JhengHei" w:eastAsia="Microsoft JhengHei" w:hAnsi="Microsoft JhengHei" w:cs="Arial"/>
          <w:sz w:val="24"/>
          <w:szCs w:val="24"/>
        </w:rPr>
        <w:t>.</w:t>
      </w:r>
    </w:p>
    <w:p w14:paraId="32FFFE36" w14:textId="77777777" w:rsidR="00850287" w:rsidRDefault="00A2202C" w:rsidP="004E2068">
      <w:pPr>
        <w:spacing w:line="360" w:lineRule="auto"/>
        <w:jc w:val="both"/>
        <w:rPr>
          <w:rFonts w:ascii="Microsoft JhengHei" w:eastAsia="Microsoft JhengHei" w:hAnsi="Microsoft JhengHei" w:cs="Arial"/>
          <w:sz w:val="24"/>
          <w:szCs w:val="24"/>
        </w:rPr>
      </w:pPr>
      <w:r w:rsidRPr="004E2068">
        <w:rPr>
          <w:rFonts w:ascii="Microsoft JhengHei" w:eastAsia="Microsoft JhengHei" w:hAnsi="Microsoft JhengHei" w:cs="Arial"/>
          <w:sz w:val="24"/>
          <w:szCs w:val="24"/>
        </w:rPr>
        <w:t xml:space="preserve">En los últimos dos años comprendidos entre 2020 y 2021 la suma de estos delitos se integra por </w:t>
      </w:r>
      <w:r w:rsidR="00F14BB4" w:rsidRPr="004E2068">
        <w:rPr>
          <w:rFonts w:ascii="Microsoft JhengHei" w:eastAsia="Microsoft JhengHei" w:hAnsi="Microsoft JhengHei" w:cs="Arial"/>
          <w:sz w:val="24"/>
          <w:szCs w:val="24"/>
        </w:rPr>
        <w:t>50</w:t>
      </w:r>
      <w:r w:rsidRPr="004E2068">
        <w:rPr>
          <w:rFonts w:ascii="Microsoft JhengHei" w:eastAsia="Microsoft JhengHei" w:hAnsi="Microsoft JhengHei" w:cs="Arial"/>
          <w:sz w:val="24"/>
          <w:szCs w:val="24"/>
        </w:rPr>
        <w:t xml:space="preserve"> denuncias ciudadanas que re</w:t>
      </w:r>
      <w:r w:rsidR="00F14BB4" w:rsidRPr="004E2068">
        <w:rPr>
          <w:rFonts w:ascii="Microsoft JhengHei" w:eastAsia="Microsoft JhengHei" w:hAnsi="Microsoft JhengHei" w:cs="Arial"/>
          <w:sz w:val="24"/>
          <w:szCs w:val="24"/>
        </w:rPr>
        <w:t>presentan el 50 % durante 2</w:t>
      </w:r>
      <w:r w:rsidR="00597F79" w:rsidRPr="004E2068">
        <w:rPr>
          <w:rFonts w:ascii="Microsoft JhengHei" w:eastAsia="Microsoft JhengHei" w:hAnsi="Microsoft JhengHei" w:cs="Arial"/>
          <w:sz w:val="24"/>
          <w:szCs w:val="24"/>
        </w:rPr>
        <w:t>020 y 2021</w:t>
      </w:r>
      <w:r w:rsidR="00F14BB4" w:rsidRPr="004E2068">
        <w:rPr>
          <w:rFonts w:ascii="Microsoft JhengHei" w:eastAsia="Microsoft JhengHei" w:hAnsi="Microsoft JhengHei" w:cs="Arial"/>
          <w:sz w:val="24"/>
          <w:szCs w:val="24"/>
        </w:rPr>
        <w:t xml:space="preserve"> y el 3.6 % durante 2022</w:t>
      </w:r>
      <w:r w:rsidRPr="004E2068">
        <w:rPr>
          <w:rFonts w:ascii="Microsoft JhengHei" w:eastAsia="Microsoft JhengHei" w:hAnsi="Microsoft JhengHei" w:cs="Arial"/>
          <w:sz w:val="24"/>
          <w:szCs w:val="24"/>
        </w:rPr>
        <w:t xml:space="preserve">. </w:t>
      </w:r>
    </w:p>
    <w:p w14:paraId="36AA7008" w14:textId="1C02D05B" w:rsidR="004A3C1E" w:rsidRPr="004E2068" w:rsidRDefault="00A2202C" w:rsidP="004E2068">
      <w:pPr>
        <w:spacing w:line="360" w:lineRule="auto"/>
        <w:jc w:val="both"/>
        <w:rPr>
          <w:rFonts w:ascii="Microsoft JhengHei" w:eastAsia="Microsoft JhengHei" w:hAnsi="Microsoft JhengHei" w:cs="Arial"/>
          <w:sz w:val="24"/>
          <w:szCs w:val="24"/>
        </w:rPr>
      </w:pPr>
      <w:r w:rsidRPr="004E2068">
        <w:rPr>
          <w:rFonts w:ascii="Microsoft JhengHei" w:eastAsia="Microsoft JhengHei" w:hAnsi="Microsoft JhengHei" w:cs="Arial"/>
          <w:sz w:val="24"/>
          <w:szCs w:val="24"/>
        </w:rPr>
        <w:t>Como se desprende de la información estadística anterior la incidencia delictiva se ha incrementado de manera mínima por las condiciones de inseguridad que prevalecen a nivel nacional.</w:t>
      </w:r>
      <w:r w:rsidR="004A3C1E" w:rsidRPr="004E2068">
        <w:rPr>
          <w:rFonts w:ascii="Microsoft JhengHei" w:eastAsia="Microsoft JhengHei" w:hAnsi="Microsoft JhengHei" w:cs="Arial"/>
          <w:b/>
          <w:bCs/>
          <w:color w:val="000000" w:themeColor="text1"/>
          <w:sz w:val="24"/>
          <w:szCs w:val="24"/>
        </w:rPr>
        <w:t xml:space="preserve"> </w:t>
      </w:r>
    </w:p>
    <w:p w14:paraId="4398B6C0" w14:textId="77777777" w:rsidR="004A3C1E" w:rsidRPr="004E2068" w:rsidRDefault="004A3C1E" w:rsidP="00576B79">
      <w:pPr>
        <w:jc w:val="both"/>
        <w:rPr>
          <w:rFonts w:ascii="Microsoft JhengHei" w:eastAsia="Microsoft JhengHei" w:hAnsi="Microsoft JhengHei" w:cs="Arial"/>
          <w:b/>
          <w:sz w:val="24"/>
          <w:szCs w:val="24"/>
        </w:rPr>
      </w:pPr>
    </w:p>
    <w:p w14:paraId="54A7C767" w14:textId="77777777" w:rsidR="00F14BB4" w:rsidRPr="004E2068" w:rsidRDefault="00F14BB4" w:rsidP="00576B79">
      <w:pPr>
        <w:jc w:val="both"/>
        <w:rPr>
          <w:rFonts w:ascii="Microsoft JhengHei" w:eastAsia="Microsoft JhengHei" w:hAnsi="Microsoft JhengHei" w:cs="Arial"/>
          <w:b/>
          <w:sz w:val="24"/>
          <w:szCs w:val="24"/>
        </w:rPr>
      </w:pPr>
    </w:p>
    <w:p w14:paraId="4399AA96" w14:textId="77777777" w:rsidR="00F14BB4" w:rsidRPr="004E2068" w:rsidRDefault="00F14BB4" w:rsidP="00576B79">
      <w:pPr>
        <w:jc w:val="both"/>
        <w:rPr>
          <w:rFonts w:ascii="Microsoft JhengHei" w:eastAsia="Microsoft JhengHei" w:hAnsi="Microsoft JhengHei" w:cs="Arial"/>
          <w:b/>
          <w:sz w:val="24"/>
          <w:szCs w:val="24"/>
        </w:rPr>
      </w:pPr>
    </w:p>
    <w:p w14:paraId="7932131B" w14:textId="77777777" w:rsidR="00F14BB4" w:rsidRPr="004E2068" w:rsidRDefault="00D36689" w:rsidP="00576B79">
      <w:pPr>
        <w:jc w:val="both"/>
        <w:rPr>
          <w:rFonts w:ascii="Microsoft JhengHei" w:eastAsia="Microsoft JhengHei" w:hAnsi="Microsoft JhengHei" w:cs="Arial"/>
          <w:b/>
          <w:sz w:val="24"/>
          <w:szCs w:val="24"/>
        </w:rPr>
      </w:pPr>
      <w:r w:rsidRPr="004E2068">
        <w:rPr>
          <w:rFonts w:ascii="Microsoft JhengHei" w:eastAsia="Microsoft JhengHei" w:hAnsi="Microsoft JhengHei" w:cs="Arial"/>
          <w:b/>
          <w:noProof/>
          <w:sz w:val="24"/>
          <w:szCs w:val="24"/>
          <w:lang w:eastAsia="es-MX"/>
        </w:rPr>
        <w:lastRenderedPageBreak/>
        <w:drawing>
          <wp:inline distT="0" distB="0" distL="0" distR="0" wp14:anchorId="7154EF81" wp14:editId="432CF39F">
            <wp:extent cx="4654541" cy="2714625"/>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bl>
      <w:tblPr>
        <w:tblpPr w:leftFromText="141" w:rightFromText="141" w:vertAnchor="text" w:horzAnchor="margin" w:tblpXSpec="right" w:tblpY="31"/>
        <w:tblW w:w="1966"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left w:w="70" w:type="dxa"/>
          <w:right w:w="70" w:type="dxa"/>
        </w:tblCellMar>
        <w:tblLook w:val="04A0" w:firstRow="1" w:lastRow="0" w:firstColumn="1" w:lastColumn="0" w:noHBand="0" w:noVBand="1"/>
      </w:tblPr>
      <w:tblGrid>
        <w:gridCol w:w="968"/>
        <w:gridCol w:w="1282"/>
      </w:tblGrid>
      <w:tr w:rsidR="004E2068" w:rsidRPr="004E2068" w14:paraId="53B4AA21" w14:textId="77777777" w:rsidTr="00F40EF7">
        <w:trPr>
          <w:trHeight w:val="233"/>
        </w:trPr>
        <w:tc>
          <w:tcPr>
            <w:tcW w:w="968" w:type="dxa"/>
            <w:shd w:val="clear" w:color="auto" w:fill="A6A6A6" w:themeFill="background1" w:themeFillShade="A6"/>
            <w:noWrap/>
            <w:vAlign w:val="bottom"/>
            <w:hideMark/>
          </w:tcPr>
          <w:p w14:paraId="0E8D813D" w14:textId="77777777" w:rsidR="004E2068" w:rsidRPr="004E2068" w:rsidRDefault="004E2068" w:rsidP="004E2068">
            <w:pPr>
              <w:spacing w:after="0" w:line="240" w:lineRule="auto"/>
              <w:jc w:val="center"/>
              <w:rPr>
                <w:rFonts w:ascii="Microsoft JhengHei" w:eastAsia="Microsoft JhengHei" w:hAnsi="Microsoft JhengHei" w:cs="Calibri"/>
                <w:color w:val="FFFFFF" w:themeColor="background1"/>
                <w:lang w:val="es-ES" w:eastAsia="es-ES"/>
              </w:rPr>
            </w:pPr>
            <w:r w:rsidRPr="004E2068">
              <w:rPr>
                <w:rFonts w:ascii="Microsoft JhengHei" w:eastAsia="Microsoft JhengHei" w:hAnsi="Microsoft JhengHei" w:cs="Calibri"/>
                <w:color w:val="FFFFFF" w:themeColor="background1"/>
                <w:lang w:val="es-ES" w:eastAsia="es-ES"/>
              </w:rPr>
              <w:t>Año</w:t>
            </w:r>
          </w:p>
        </w:tc>
        <w:tc>
          <w:tcPr>
            <w:tcW w:w="998" w:type="dxa"/>
            <w:shd w:val="clear" w:color="auto" w:fill="A6A6A6" w:themeFill="background1" w:themeFillShade="A6"/>
            <w:noWrap/>
            <w:vAlign w:val="bottom"/>
            <w:hideMark/>
          </w:tcPr>
          <w:p w14:paraId="65A3B070" w14:textId="77777777" w:rsidR="004E2068" w:rsidRPr="004E2068" w:rsidRDefault="004E2068" w:rsidP="004E2068">
            <w:pPr>
              <w:spacing w:after="0" w:line="240" w:lineRule="auto"/>
              <w:jc w:val="center"/>
              <w:rPr>
                <w:rFonts w:ascii="Microsoft JhengHei" w:eastAsia="Microsoft JhengHei" w:hAnsi="Microsoft JhengHei" w:cs="Calibri"/>
                <w:color w:val="FFFFFF" w:themeColor="background1"/>
                <w:lang w:val="es-ES" w:eastAsia="es-ES"/>
              </w:rPr>
            </w:pPr>
            <w:r w:rsidRPr="004E2068">
              <w:rPr>
                <w:rFonts w:ascii="Microsoft JhengHei" w:eastAsia="Microsoft JhengHei" w:hAnsi="Microsoft JhengHei" w:cs="Calibri"/>
                <w:color w:val="FFFFFF" w:themeColor="background1"/>
                <w:lang w:val="es-ES" w:eastAsia="es-ES"/>
              </w:rPr>
              <w:t>incidencias</w:t>
            </w:r>
          </w:p>
        </w:tc>
      </w:tr>
      <w:tr w:rsidR="004E2068" w:rsidRPr="004E2068" w14:paraId="3359401C" w14:textId="77777777" w:rsidTr="00F40EF7">
        <w:trPr>
          <w:trHeight w:val="233"/>
        </w:trPr>
        <w:tc>
          <w:tcPr>
            <w:tcW w:w="968" w:type="dxa"/>
            <w:shd w:val="clear" w:color="auto" w:fill="215868" w:themeFill="accent5" w:themeFillShade="80"/>
            <w:noWrap/>
            <w:vAlign w:val="bottom"/>
            <w:hideMark/>
          </w:tcPr>
          <w:p w14:paraId="54EF8DFA" w14:textId="77777777" w:rsidR="004E2068" w:rsidRPr="004E2068" w:rsidRDefault="004E2068" w:rsidP="004E2068">
            <w:pPr>
              <w:spacing w:after="0" w:line="240" w:lineRule="auto"/>
              <w:jc w:val="center"/>
              <w:rPr>
                <w:rFonts w:ascii="Microsoft JhengHei" w:eastAsia="Microsoft JhengHei" w:hAnsi="Microsoft JhengHei" w:cs="Calibri"/>
                <w:color w:val="FFFFFF" w:themeColor="background1"/>
                <w:lang w:val="es-ES" w:eastAsia="es-ES"/>
              </w:rPr>
            </w:pPr>
            <w:r w:rsidRPr="004E2068">
              <w:rPr>
                <w:rFonts w:ascii="Microsoft JhengHei" w:eastAsia="Microsoft JhengHei" w:hAnsi="Microsoft JhengHei" w:cs="Calibri"/>
                <w:color w:val="FFFFFF" w:themeColor="background1"/>
                <w:lang w:val="es-ES" w:eastAsia="es-ES"/>
              </w:rPr>
              <w:t>2020</w:t>
            </w:r>
          </w:p>
        </w:tc>
        <w:tc>
          <w:tcPr>
            <w:tcW w:w="998" w:type="dxa"/>
            <w:shd w:val="clear" w:color="auto" w:fill="215868" w:themeFill="accent5" w:themeFillShade="80"/>
            <w:noWrap/>
            <w:vAlign w:val="bottom"/>
            <w:hideMark/>
          </w:tcPr>
          <w:p w14:paraId="05268F6F" w14:textId="77777777" w:rsidR="004E2068" w:rsidRPr="004E2068" w:rsidRDefault="004E2068" w:rsidP="004E2068">
            <w:pPr>
              <w:spacing w:after="0" w:line="240" w:lineRule="auto"/>
              <w:jc w:val="center"/>
              <w:rPr>
                <w:rFonts w:ascii="Microsoft JhengHei" w:eastAsia="Microsoft JhengHei" w:hAnsi="Microsoft JhengHei" w:cs="Calibri"/>
                <w:color w:val="FFFFFF" w:themeColor="background1"/>
                <w:lang w:val="es-ES" w:eastAsia="es-ES"/>
              </w:rPr>
            </w:pPr>
            <w:r w:rsidRPr="004E2068">
              <w:rPr>
                <w:rFonts w:ascii="Microsoft JhengHei" w:eastAsia="Microsoft JhengHei" w:hAnsi="Microsoft JhengHei" w:cs="Calibri"/>
                <w:color w:val="FFFFFF" w:themeColor="background1"/>
                <w:lang w:val="es-ES" w:eastAsia="es-ES"/>
              </w:rPr>
              <w:t>25%</w:t>
            </w:r>
          </w:p>
        </w:tc>
      </w:tr>
      <w:tr w:rsidR="004E2068" w:rsidRPr="004E2068" w14:paraId="362E7816" w14:textId="77777777" w:rsidTr="00F40EF7">
        <w:trPr>
          <w:trHeight w:val="233"/>
        </w:trPr>
        <w:tc>
          <w:tcPr>
            <w:tcW w:w="968" w:type="dxa"/>
            <w:shd w:val="clear" w:color="auto" w:fill="31849B" w:themeFill="accent5" w:themeFillShade="BF"/>
            <w:noWrap/>
            <w:vAlign w:val="bottom"/>
            <w:hideMark/>
          </w:tcPr>
          <w:p w14:paraId="01FD4127" w14:textId="77777777" w:rsidR="004E2068" w:rsidRPr="004E2068" w:rsidRDefault="004E2068" w:rsidP="004E2068">
            <w:pPr>
              <w:spacing w:after="0" w:line="240" w:lineRule="auto"/>
              <w:jc w:val="center"/>
              <w:rPr>
                <w:rFonts w:ascii="Microsoft JhengHei" w:eastAsia="Microsoft JhengHei" w:hAnsi="Microsoft JhengHei" w:cs="Calibri"/>
                <w:color w:val="FFFFFF" w:themeColor="background1"/>
                <w:lang w:val="es-ES" w:eastAsia="es-ES"/>
              </w:rPr>
            </w:pPr>
            <w:r w:rsidRPr="004E2068">
              <w:rPr>
                <w:rFonts w:ascii="Microsoft JhengHei" w:eastAsia="Microsoft JhengHei" w:hAnsi="Microsoft JhengHei" w:cs="Calibri"/>
                <w:color w:val="FFFFFF" w:themeColor="background1"/>
                <w:lang w:val="es-ES" w:eastAsia="es-ES"/>
              </w:rPr>
              <w:t>2021</w:t>
            </w:r>
          </w:p>
        </w:tc>
        <w:tc>
          <w:tcPr>
            <w:tcW w:w="998" w:type="dxa"/>
            <w:shd w:val="clear" w:color="auto" w:fill="31849B" w:themeFill="accent5" w:themeFillShade="BF"/>
            <w:noWrap/>
            <w:vAlign w:val="bottom"/>
            <w:hideMark/>
          </w:tcPr>
          <w:p w14:paraId="6BB91383" w14:textId="77777777" w:rsidR="004E2068" w:rsidRPr="004E2068" w:rsidRDefault="004E2068" w:rsidP="004E2068">
            <w:pPr>
              <w:spacing w:after="0" w:line="240" w:lineRule="auto"/>
              <w:jc w:val="center"/>
              <w:rPr>
                <w:rFonts w:ascii="Microsoft JhengHei" w:eastAsia="Microsoft JhengHei" w:hAnsi="Microsoft JhengHei" w:cs="Calibri"/>
                <w:color w:val="FFFFFF" w:themeColor="background1"/>
                <w:lang w:val="es-ES" w:eastAsia="es-ES"/>
              </w:rPr>
            </w:pPr>
            <w:r w:rsidRPr="004E2068">
              <w:rPr>
                <w:rFonts w:ascii="Microsoft JhengHei" w:eastAsia="Microsoft JhengHei" w:hAnsi="Microsoft JhengHei" w:cs="Calibri"/>
                <w:color w:val="FFFFFF" w:themeColor="background1"/>
                <w:lang w:val="es-ES" w:eastAsia="es-ES"/>
              </w:rPr>
              <w:t>25%</w:t>
            </w:r>
          </w:p>
        </w:tc>
      </w:tr>
      <w:tr w:rsidR="004E2068" w:rsidRPr="004E2068" w14:paraId="508308AC" w14:textId="77777777" w:rsidTr="00F40EF7">
        <w:trPr>
          <w:trHeight w:val="233"/>
        </w:trPr>
        <w:tc>
          <w:tcPr>
            <w:tcW w:w="968" w:type="dxa"/>
            <w:shd w:val="clear" w:color="auto" w:fill="92CDDC" w:themeFill="accent5" w:themeFillTint="99"/>
            <w:noWrap/>
            <w:vAlign w:val="bottom"/>
            <w:hideMark/>
          </w:tcPr>
          <w:p w14:paraId="2FC1B956" w14:textId="77777777" w:rsidR="004E2068" w:rsidRPr="004E2068" w:rsidRDefault="004E2068" w:rsidP="004E2068">
            <w:pPr>
              <w:spacing w:after="0" w:line="240" w:lineRule="auto"/>
              <w:jc w:val="center"/>
              <w:rPr>
                <w:rFonts w:ascii="Microsoft JhengHei" w:eastAsia="Microsoft JhengHei" w:hAnsi="Microsoft JhengHei" w:cs="Calibri"/>
                <w:color w:val="FFFFFF" w:themeColor="background1"/>
                <w:lang w:val="es-ES" w:eastAsia="es-ES"/>
              </w:rPr>
            </w:pPr>
            <w:r w:rsidRPr="004E2068">
              <w:rPr>
                <w:rFonts w:ascii="Microsoft JhengHei" w:eastAsia="Microsoft JhengHei" w:hAnsi="Microsoft JhengHei" w:cs="Calibri"/>
                <w:color w:val="FFFFFF" w:themeColor="background1"/>
                <w:lang w:val="es-ES" w:eastAsia="es-ES"/>
              </w:rPr>
              <w:t>2022</w:t>
            </w:r>
          </w:p>
        </w:tc>
        <w:tc>
          <w:tcPr>
            <w:tcW w:w="998" w:type="dxa"/>
            <w:shd w:val="clear" w:color="auto" w:fill="92CDDC" w:themeFill="accent5" w:themeFillTint="99"/>
            <w:noWrap/>
            <w:vAlign w:val="bottom"/>
            <w:hideMark/>
          </w:tcPr>
          <w:p w14:paraId="35EFEDD0" w14:textId="77777777" w:rsidR="004E2068" w:rsidRPr="004E2068" w:rsidRDefault="004E2068" w:rsidP="004E2068">
            <w:pPr>
              <w:spacing w:after="0" w:line="240" w:lineRule="auto"/>
              <w:jc w:val="center"/>
              <w:rPr>
                <w:rFonts w:ascii="Microsoft JhengHei" w:eastAsia="Microsoft JhengHei" w:hAnsi="Microsoft JhengHei" w:cs="Calibri"/>
                <w:color w:val="FFFFFF" w:themeColor="background1"/>
                <w:lang w:val="es-ES" w:eastAsia="es-ES"/>
              </w:rPr>
            </w:pPr>
            <w:r w:rsidRPr="004E2068">
              <w:rPr>
                <w:rFonts w:ascii="Microsoft JhengHei" w:eastAsia="Microsoft JhengHei" w:hAnsi="Microsoft JhengHei" w:cs="Calibri"/>
                <w:color w:val="FFFFFF" w:themeColor="background1"/>
                <w:shd w:val="clear" w:color="auto" w:fill="92CDDC" w:themeFill="accent5" w:themeFillTint="99"/>
                <w:lang w:val="es-ES" w:eastAsia="es-ES"/>
              </w:rPr>
              <w:t>3</w:t>
            </w:r>
            <w:r w:rsidRPr="004E2068">
              <w:rPr>
                <w:rFonts w:ascii="Microsoft JhengHei" w:eastAsia="Microsoft JhengHei" w:hAnsi="Microsoft JhengHei" w:cs="Calibri"/>
                <w:color w:val="FFFFFF" w:themeColor="background1"/>
                <w:lang w:val="es-ES" w:eastAsia="es-ES"/>
              </w:rPr>
              <w:t>.6%</w:t>
            </w:r>
          </w:p>
        </w:tc>
      </w:tr>
    </w:tbl>
    <w:p w14:paraId="1113F21D" w14:textId="77777777" w:rsidR="004A3C1E" w:rsidRPr="004E2068" w:rsidRDefault="004A3C1E" w:rsidP="00576B79">
      <w:pPr>
        <w:jc w:val="both"/>
        <w:rPr>
          <w:rFonts w:ascii="Microsoft JhengHei" w:eastAsia="Microsoft JhengHei" w:hAnsi="Microsoft JhengHei" w:cs="Arial"/>
          <w:b/>
          <w:sz w:val="24"/>
          <w:szCs w:val="24"/>
        </w:rPr>
      </w:pPr>
    </w:p>
    <w:p w14:paraId="62F675AE" w14:textId="77777777" w:rsidR="004A3C1E" w:rsidRPr="004E2068" w:rsidRDefault="004A3C1E" w:rsidP="00576B79">
      <w:pPr>
        <w:jc w:val="both"/>
        <w:rPr>
          <w:rFonts w:ascii="Microsoft JhengHei" w:eastAsia="Microsoft JhengHei" w:hAnsi="Microsoft JhengHei" w:cs="Arial"/>
          <w:b/>
          <w:sz w:val="24"/>
          <w:szCs w:val="24"/>
        </w:rPr>
      </w:pPr>
    </w:p>
    <w:p w14:paraId="204E8274" w14:textId="77777777" w:rsidR="004E2068" w:rsidRDefault="004E2068" w:rsidP="00576B79">
      <w:pPr>
        <w:jc w:val="both"/>
        <w:rPr>
          <w:rFonts w:ascii="Microsoft JhengHei" w:eastAsia="Microsoft JhengHei" w:hAnsi="Microsoft JhengHei" w:cs="Arial"/>
          <w:sz w:val="24"/>
          <w:szCs w:val="24"/>
        </w:rPr>
      </w:pPr>
    </w:p>
    <w:p w14:paraId="42C798C7" w14:textId="77777777" w:rsidR="004E2068" w:rsidRDefault="004E2068" w:rsidP="00576B79">
      <w:pPr>
        <w:jc w:val="both"/>
        <w:rPr>
          <w:rFonts w:ascii="Microsoft JhengHei" w:eastAsia="Microsoft JhengHei" w:hAnsi="Microsoft JhengHei" w:cs="Arial"/>
          <w:sz w:val="24"/>
          <w:szCs w:val="24"/>
        </w:rPr>
      </w:pPr>
    </w:p>
    <w:p w14:paraId="3CB327D8" w14:textId="471C5010" w:rsidR="003C1FD4" w:rsidRDefault="0066173A" w:rsidP="00F40EF7">
      <w:pPr>
        <w:spacing w:line="360" w:lineRule="auto"/>
        <w:jc w:val="both"/>
        <w:rPr>
          <w:rFonts w:ascii="Microsoft JhengHei" w:eastAsia="Microsoft JhengHei" w:hAnsi="Microsoft JhengHei" w:cs="Arial"/>
          <w:sz w:val="24"/>
          <w:szCs w:val="24"/>
        </w:rPr>
      </w:pPr>
      <w:r w:rsidRPr="004E2068">
        <w:rPr>
          <w:rFonts w:ascii="Microsoft JhengHei" w:eastAsia="Microsoft JhengHei" w:hAnsi="Microsoft JhengHei" w:cs="Arial"/>
          <w:sz w:val="24"/>
          <w:szCs w:val="24"/>
        </w:rPr>
        <w:t>Respecto del estado de fuerza de la corporación de Seguridad Pública del Municipio de Gómez Farías</w:t>
      </w:r>
      <w:r w:rsidR="00381E02" w:rsidRPr="004E2068">
        <w:rPr>
          <w:rFonts w:ascii="Microsoft JhengHei" w:eastAsia="Microsoft JhengHei" w:hAnsi="Microsoft JhengHei" w:cs="Arial"/>
          <w:sz w:val="24"/>
          <w:szCs w:val="24"/>
        </w:rPr>
        <w:t xml:space="preserve">, la misma cuenta con 32 elementos que </w:t>
      </w:r>
      <w:r w:rsidR="00172706" w:rsidRPr="004E2068">
        <w:rPr>
          <w:rFonts w:ascii="Microsoft JhengHei" w:eastAsia="Microsoft JhengHei" w:hAnsi="Microsoft JhengHei" w:cs="Arial"/>
          <w:sz w:val="24"/>
          <w:szCs w:val="24"/>
        </w:rPr>
        <w:t>conforman mi</w:t>
      </w:r>
      <w:r w:rsidR="00381E02" w:rsidRPr="004E2068">
        <w:rPr>
          <w:rFonts w:ascii="Microsoft JhengHei" w:eastAsia="Microsoft JhengHei" w:hAnsi="Microsoft JhengHei" w:cs="Arial"/>
          <w:sz w:val="24"/>
          <w:szCs w:val="24"/>
        </w:rPr>
        <w:t xml:space="preserve"> estado de fuerza</w:t>
      </w:r>
      <w:r w:rsidRPr="004E2068">
        <w:rPr>
          <w:rFonts w:ascii="Microsoft JhengHei" w:eastAsia="Microsoft JhengHei" w:hAnsi="Microsoft JhengHei" w:cs="Arial"/>
          <w:sz w:val="24"/>
          <w:szCs w:val="24"/>
        </w:rPr>
        <w:t>,</w:t>
      </w:r>
      <w:r w:rsidR="00381E02" w:rsidRPr="004E2068">
        <w:rPr>
          <w:rFonts w:ascii="Microsoft JhengHei" w:eastAsia="Microsoft JhengHei" w:hAnsi="Microsoft JhengHei" w:cs="Arial"/>
          <w:sz w:val="24"/>
          <w:szCs w:val="24"/>
        </w:rPr>
        <w:t xml:space="preserve"> 20 elementos ante el Consejo Estatal Del Estado, aprobados en </w:t>
      </w:r>
      <w:r w:rsidR="00172706" w:rsidRPr="004E2068">
        <w:rPr>
          <w:rFonts w:ascii="Microsoft JhengHei" w:eastAsia="Microsoft JhengHei" w:hAnsi="Microsoft JhengHei" w:cs="Arial"/>
          <w:sz w:val="24"/>
          <w:szCs w:val="24"/>
        </w:rPr>
        <w:t>su examen</w:t>
      </w:r>
      <w:r w:rsidRPr="004E2068">
        <w:rPr>
          <w:rFonts w:ascii="Microsoft JhengHei" w:eastAsia="Microsoft JhengHei" w:hAnsi="Microsoft JhengHei" w:cs="Arial"/>
          <w:sz w:val="24"/>
          <w:szCs w:val="24"/>
        </w:rPr>
        <w:t xml:space="preserve"> de confianza</w:t>
      </w:r>
      <w:r w:rsidR="00381E02" w:rsidRPr="004E2068">
        <w:rPr>
          <w:rFonts w:ascii="Microsoft JhengHei" w:eastAsia="Microsoft JhengHei" w:hAnsi="Microsoft JhengHei" w:cs="Arial"/>
          <w:sz w:val="24"/>
          <w:szCs w:val="24"/>
        </w:rPr>
        <w:t xml:space="preserve">, y 16 elementos los cueles ya cuenta con su cup, </w:t>
      </w:r>
      <w:r w:rsidRPr="004E2068">
        <w:rPr>
          <w:rFonts w:ascii="Microsoft JhengHei" w:eastAsia="Microsoft JhengHei" w:hAnsi="Microsoft JhengHei" w:cs="Arial"/>
          <w:sz w:val="24"/>
          <w:szCs w:val="24"/>
        </w:rPr>
        <w:t xml:space="preserve">de la Ley General del Sistema Nacional de Seguridad Pública. Relacionado con la información anterior y de acuerdo a la población </w:t>
      </w:r>
      <w:r w:rsidR="00381E02" w:rsidRPr="004E2068">
        <w:rPr>
          <w:rFonts w:ascii="Microsoft JhengHei" w:eastAsia="Microsoft JhengHei" w:hAnsi="Microsoft JhengHei" w:cs="Arial"/>
          <w:sz w:val="24"/>
          <w:szCs w:val="24"/>
        </w:rPr>
        <w:t>mencionada 16431</w:t>
      </w:r>
      <w:r w:rsidRPr="004E2068">
        <w:rPr>
          <w:rFonts w:ascii="Microsoft JhengHei" w:eastAsia="Microsoft JhengHei" w:hAnsi="Microsoft JhengHei" w:cs="Arial"/>
          <w:sz w:val="24"/>
          <w:szCs w:val="24"/>
        </w:rPr>
        <w:t xml:space="preserve"> habi</w:t>
      </w:r>
      <w:r w:rsidR="00BB7292" w:rsidRPr="004E2068">
        <w:rPr>
          <w:rFonts w:ascii="Microsoft JhengHei" w:eastAsia="Microsoft JhengHei" w:hAnsi="Microsoft JhengHei" w:cs="Arial"/>
          <w:sz w:val="24"/>
          <w:szCs w:val="24"/>
        </w:rPr>
        <w:t>tantes, en consecuencia existe 16.03</w:t>
      </w:r>
      <w:r w:rsidRPr="004E2068">
        <w:rPr>
          <w:rFonts w:ascii="Microsoft JhengHei" w:eastAsia="Microsoft JhengHei" w:hAnsi="Microsoft JhengHei" w:cs="Arial"/>
          <w:sz w:val="24"/>
          <w:szCs w:val="24"/>
        </w:rPr>
        <w:t xml:space="preserve"> elementos por cada mil habitantes. Por otra </w:t>
      </w:r>
      <w:r w:rsidR="00172706" w:rsidRPr="004E2068">
        <w:rPr>
          <w:rFonts w:ascii="Microsoft JhengHei" w:eastAsia="Microsoft JhengHei" w:hAnsi="Microsoft JhengHei" w:cs="Arial"/>
          <w:sz w:val="24"/>
          <w:szCs w:val="24"/>
        </w:rPr>
        <w:t>parte,</w:t>
      </w:r>
      <w:r w:rsidRPr="004E2068">
        <w:rPr>
          <w:rFonts w:ascii="Microsoft JhengHei" w:eastAsia="Microsoft JhengHei" w:hAnsi="Microsoft JhengHei" w:cs="Arial"/>
          <w:sz w:val="24"/>
          <w:szCs w:val="24"/>
        </w:rPr>
        <w:t xml:space="preserve"> y en referencia al parque vehicular para realizar las actividades de vigilancia de </w:t>
      </w:r>
      <w:r w:rsidR="00BB7292" w:rsidRPr="004E2068">
        <w:rPr>
          <w:rFonts w:ascii="Microsoft JhengHei" w:eastAsia="Microsoft JhengHei" w:hAnsi="Microsoft JhengHei" w:cs="Arial"/>
          <w:sz w:val="24"/>
          <w:szCs w:val="24"/>
        </w:rPr>
        <w:t xml:space="preserve">la cabecera municipal y sus delegaciones y </w:t>
      </w:r>
      <w:r w:rsidR="00FE7B88" w:rsidRPr="004E2068">
        <w:rPr>
          <w:rFonts w:ascii="Microsoft JhengHei" w:eastAsia="Microsoft JhengHei" w:hAnsi="Microsoft JhengHei" w:cs="Arial"/>
          <w:sz w:val="24"/>
          <w:szCs w:val="24"/>
        </w:rPr>
        <w:t>agencias Seguridad</w:t>
      </w:r>
      <w:r w:rsidR="00651015" w:rsidRPr="004E2068">
        <w:rPr>
          <w:rFonts w:ascii="Microsoft JhengHei" w:eastAsia="Microsoft JhengHei" w:hAnsi="Microsoft JhengHei" w:cs="Arial"/>
          <w:sz w:val="24"/>
          <w:szCs w:val="24"/>
        </w:rPr>
        <w:t xml:space="preserve"> Pública Mun</w:t>
      </w:r>
      <w:r w:rsidR="00FE7B88" w:rsidRPr="004E2068">
        <w:rPr>
          <w:rFonts w:ascii="Microsoft JhengHei" w:eastAsia="Microsoft JhengHei" w:hAnsi="Microsoft JhengHei" w:cs="Arial"/>
          <w:sz w:val="24"/>
          <w:szCs w:val="24"/>
        </w:rPr>
        <w:t>icipal cuenta con 4 unidades y 2</w:t>
      </w:r>
      <w:r w:rsidR="00651015" w:rsidRPr="004E2068">
        <w:rPr>
          <w:rFonts w:ascii="Microsoft JhengHei" w:eastAsia="Microsoft JhengHei" w:hAnsi="Microsoft JhengHei" w:cs="Arial"/>
          <w:sz w:val="24"/>
          <w:szCs w:val="24"/>
        </w:rPr>
        <w:t xml:space="preserve"> motocicletas</w:t>
      </w:r>
      <w:r w:rsidRPr="004E2068">
        <w:rPr>
          <w:rFonts w:ascii="Microsoft JhengHei" w:eastAsia="Microsoft JhengHei" w:hAnsi="Microsoft JhengHei" w:cs="Arial"/>
          <w:sz w:val="24"/>
          <w:szCs w:val="24"/>
        </w:rPr>
        <w:t xml:space="preserve"> no se encuentran en condiciones mecánicas adecuadas para </w:t>
      </w:r>
      <w:r w:rsidRPr="004E2068">
        <w:rPr>
          <w:rFonts w:ascii="Microsoft JhengHei" w:eastAsia="Microsoft JhengHei" w:hAnsi="Microsoft JhengHei" w:cs="Arial"/>
          <w:sz w:val="24"/>
          <w:szCs w:val="24"/>
        </w:rPr>
        <w:lastRenderedPageBreak/>
        <w:t>circulación. En el mismo contexto, pero relacionado con la infraestructura del área de Seguridad Pública Municipal, s</w:t>
      </w:r>
      <w:r w:rsidR="003C1FD4" w:rsidRPr="004E2068">
        <w:rPr>
          <w:rFonts w:ascii="Microsoft JhengHei" w:eastAsia="Microsoft JhengHei" w:hAnsi="Microsoft JhengHei" w:cs="Arial"/>
          <w:sz w:val="24"/>
          <w:szCs w:val="24"/>
        </w:rPr>
        <w:t>e cuenta</w:t>
      </w:r>
      <w:r w:rsidRPr="004E2068">
        <w:rPr>
          <w:rFonts w:ascii="Microsoft JhengHei" w:eastAsia="Microsoft JhengHei" w:hAnsi="Microsoft JhengHei" w:cs="Arial"/>
          <w:sz w:val="24"/>
          <w:szCs w:val="24"/>
        </w:rPr>
        <w:t xml:space="preserve"> co</w:t>
      </w:r>
      <w:r w:rsidR="00651015" w:rsidRPr="004E2068">
        <w:rPr>
          <w:rFonts w:ascii="Microsoft JhengHei" w:eastAsia="Microsoft JhengHei" w:hAnsi="Microsoft JhengHei" w:cs="Arial"/>
          <w:sz w:val="24"/>
          <w:szCs w:val="24"/>
        </w:rPr>
        <w:t>n una con 2 celdas, con la capacidad de 10</w:t>
      </w:r>
      <w:r w:rsidRPr="004E2068">
        <w:rPr>
          <w:rFonts w:ascii="Microsoft JhengHei" w:eastAsia="Microsoft JhengHei" w:hAnsi="Microsoft JhengHei" w:cs="Arial"/>
          <w:sz w:val="24"/>
          <w:szCs w:val="24"/>
        </w:rPr>
        <w:t xml:space="preserve"> personas por celda, área administrativa, banco de armas de acuerdo a las especificaciones de la SEDENA, un equipamiento </w:t>
      </w:r>
      <w:r w:rsidR="00651015" w:rsidRPr="004E2068">
        <w:rPr>
          <w:rFonts w:ascii="Microsoft JhengHei" w:eastAsia="Microsoft JhengHei" w:hAnsi="Microsoft JhengHei" w:cs="Arial"/>
          <w:sz w:val="24"/>
          <w:szCs w:val="24"/>
        </w:rPr>
        <w:t>integral para los 32</w:t>
      </w:r>
      <w:r w:rsidRPr="004E2068">
        <w:rPr>
          <w:rFonts w:ascii="Microsoft JhengHei" w:eastAsia="Microsoft JhengHei" w:hAnsi="Microsoft JhengHei" w:cs="Arial"/>
          <w:sz w:val="24"/>
          <w:szCs w:val="24"/>
        </w:rPr>
        <w:t xml:space="preserve"> elementos actuales.</w:t>
      </w:r>
      <w:r w:rsidR="003C1FD4" w:rsidRPr="004E2068">
        <w:rPr>
          <w:rFonts w:ascii="Microsoft JhengHei" w:eastAsia="Microsoft JhengHei" w:hAnsi="Microsoft JhengHei" w:cs="Arial"/>
          <w:sz w:val="24"/>
          <w:szCs w:val="24"/>
        </w:rPr>
        <w:t xml:space="preserve"> Los índices de robo a casa habitación,</w:t>
      </w:r>
      <w:r w:rsidRPr="004E2068">
        <w:rPr>
          <w:rFonts w:ascii="Microsoft JhengHei" w:eastAsia="Microsoft JhengHei" w:hAnsi="Microsoft JhengHei" w:cs="Arial"/>
          <w:sz w:val="24"/>
          <w:szCs w:val="24"/>
        </w:rPr>
        <w:t xml:space="preserve"> </w:t>
      </w:r>
      <w:r w:rsidR="003C1FD4" w:rsidRPr="004E2068">
        <w:rPr>
          <w:rFonts w:ascii="Microsoft JhengHei" w:eastAsia="Microsoft JhengHei" w:hAnsi="Microsoft JhengHei" w:cs="Arial"/>
          <w:sz w:val="24"/>
          <w:szCs w:val="24"/>
        </w:rPr>
        <w:t xml:space="preserve">llamadas de extorsión </w:t>
      </w:r>
      <w:r w:rsidRPr="004E2068">
        <w:rPr>
          <w:rFonts w:ascii="Microsoft JhengHei" w:eastAsia="Microsoft JhengHei" w:hAnsi="Microsoft JhengHei" w:cs="Arial"/>
          <w:sz w:val="24"/>
          <w:szCs w:val="24"/>
        </w:rPr>
        <w:t xml:space="preserve">y el desempleo entre otros, han creado un ambiente hostil en el municipio, y esto se debe principalmente a la falta de oportunidades laborales, espacios recreativos y deserción escolar, mismo que se ilustra a través de la siguiente gráfica que muestra el comportamiento delictivo en los rubros mencionados con anterioridad. </w:t>
      </w:r>
      <w:r w:rsidR="00FE7B88" w:rsidRPr="004E2068">
        <w:rPr>
          <w:rFonts w:ascii="Microsoft JhengHei" w:eastAsia="Microsoft JhengHei" w:hAnsi="Microsoft JhengHei" w:cs="Arial"/>
          <w:sz w:val="24"/>
          <w:szCs w:val="24"/>
        </w:rPr>
        <w:t>Finalmente,</w:t>
      </w:r>
      <w:r w:rsidRPr="004E2068">
        <w:rPr>
          <w:rFonts w:ascii="Microsoft JhengHei" w:eastAsia="Microsoft JhengHei" w:hAnsi="Microsoft JhengHei" w:cs="Arial"/>
          <w:sz w:val="24"/>
          <w:szCs w:val="24"/>
        </w:rPr>
        <w:t xml:space="preserve"> en el contexto de</w:t>
      </w:r>
      <w:r w:rsidR="003C1FD4" w:rsidRPr="004E2068">
        <w:rPr>
          <w:rFonts w:ascii="Microsoft JhengHei" w:eastAsia="Microsoft JhengHei" w:hAnsi="Microsoft JhengHei"/>
        </w:rPr>
        <w:t>l</w:t>
      </w:r>
      <w:r w:rsidR="003C1FD4" w:rsidRPr="004E2068">
        <w:rPr>
          <w:rFonts w:ascii="Microsoft JhengHei" w:eastAsia="Microsoft JhengHei" w:hAnsi="Microsoft JhengHei" w:cs="Arial"/>
          <w:sz w:val="24"/>
          <w:szCs w:val="24"/>
        </w:rPr>
        <w:t xml:space="preserve"> comportamiento delictivo en los rubros mencionados con anterioridad</w:t>
      </w:r>
      <w:r w:rsidRPr="004E2068">
        <w:rPr>
          <w:rFonts w:ascii="Microsoft JhengHei" w:eastAsia="Microsoft JhengHei" w:hAnsi="Microsoft JhengHei" w:cs="Arial"/>
          <w:sz w:val="24"/>
          <w:szCs w:val="24"/>
        </w:rPr>
        <w:t xml:space="preserve"> </w:t>
      </w:r>
      <w:r w:rsidR="003C1FD4" w:rsidRPr="004E2068">
        <w:rPr>
          <w:rFonts w:ascii="Microsoft JhengHei" w:eastAsia="Microsoft JhengHei" w:hAnsi="Microsoft JhengHei" w:cs="Arial"/>
          <w:sz w:val="24"/>
          <w:szCs w:val="24"/>
        </w:rPr>
        <w:t>dignó</w:t>
      </w:r>
      <w:r w:rsidR="00F40EF7">
        <w:rPr>
          <w:rFonts w:ascii="Microsoft JhengHei" w:eastAsia="Microsoft JhengHei" w:hAnsi="Microsoft JhengHei" w:cs="Arial"/>
          <w:sz w:val="24"/>
          <w:szCs w:val="24"/>
        </w:rPr>
        <w:t>:</w:t>
      </w:r>
    </w:p>
    <w:p w14:paraId="243858CB" w14:textId="77777777" w:rsidR="00F40EF7" w:rsidRPr="004E2068" w:rsidRDefault="00F40EF7" w:rsidP="00F40EF7">
      <w:pPr>
        <w:spacing w:line="360" w:lineRule="auto"/>
        <w:jc w:val="both"/>
        <w:rPr>
          <w:rFonts w:ascii="Microsoft JhengHei" w:eastAsia="Microsoft JhengHei" w:hAnsi="Microsoft JhengHei" w:cs="Arial"/>
          <w:b/>
          <w:sz w:val="24"/>
          <w:szCs w:val="24"/>
        </w:rPr>
      </w:pPr>
    </w:p>
    <w:p w14:paraId="400C6EC6" w14:textId="77777777" w:rsidR="00FE7B88" w:rsidRPr="004E2068" w:rsidRDefault="003C1FD4" w:rsidP="00FE7B88">
      <w:pPr>
        <w:jc w:val="both"/>
        <w:rPr>
          <w:rFonts w:ascii="Microsoft JhengHei" w:eastAsia="Microsoft JhengHei" w:hAnsi="Microsoft JhengHei"/>
          <w:sz w:val="24"/>
          <w:szCs w:val="24"/>
        </w:rPr>
      </w:pPr>
      <w:r w:rsidRPr="004E2068">
        <w:rPr>
          <w:rFonts w:ascii="Microsoft JhengHei" w:eastAsia="Microsoft JhengHei" w:hAnsi="Microsoft JhengHei" w:cs="Arial"/>
          <w:b/>
          <w:noProof/>
          <w:sz w:val="24"/>
          <w:szCs w:val="24"/>
          <w:lang w:eastAsia="es-MX"/>
        </w:rPr>
        <w:drawing>
          <wp:inline distT="0" distB="0" distL="0" distR="0" wp14:anchorId="425873E4" wp14:editId="785BAE96">
            <wp:extent cx="5400040" cy="3150235"/>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8026B96" w14:textId="77777777" w:rsidR="00FE7B88" w:rsidRPr="004E2068" w:rsidRDefault="00FE7B88" w:rsidP="00F40EF7">
      <w:pPr>
        <w:spacing w:line="360" w:lineRule="auto"/>
        <w:jc w:val="both"/>
        <w:rPr>
          <w:rFonts w:ascii="Microsoft JhengHei" w:eastAsia="Microsoft JhengHei" w:hAnsi="Microsoft JhengHei" w:cs="Arial"/>
          <w:b/>
          <w:sz w:val="24"/>
          <w:szCs w:val="24"/>
        </w:rPr>
      </w:pPr>
      <w:r w:rsidRPr="004E2068">
        <w:rPr>
          <w:rFonts w:ascii="Microsoft JhengHei" w:eastAsia="Microsoft JhengHei" w:hAnsi="Microsoft JhengHei" w:cs="Arial"/>
          <w:sz w:val="24"/>
          <w:szCs w:val="24"/>
        </w:rPr>
        <w:lastRenderedPageBreak/>
        <w:t>Finalmente, en el contexto del diagnóstico se concluye que, derivado de diversos métodos de interactuación con la ciudadanía, una de las principales demandas hoy en día es la mejora inmediata y continua de la corporación de Seguridad Pública, para convertir a Gómez Farías en un municipio seguro, capaz de ofertar a la inversión local y foránea las condiciones necesarias para su desarrollo.</w:t>
      </w:r>
    </w:p>
    <w:p w14:paraId="4FE6222C" w14:textId="77777777" w:rsidR="00FE7B88" w:rsidRPr="004E2068" w:rsidRDefault="00FE7B88" w:rsidP="00F40EF7">
      <w:pPr>
        <w:spacing w:line="360" w:lineRule="auto"/>
        <w:jc w:val="both"/>
        <w:rPr>
          <w:rFonts w:ascii="Microsoft JhengHei" w:eastAsia="Microsoft JhengHei" w:hAnsi="Microsoft JhengHei" w:cs="Arial"/>
          <w:b/>
          <w:sz w:val="24"/>
          <w:szCs w:val="24"/>
        </w:rPr>
      </w:pPr>
    </w:p>
    <w:p w14:paraId="4AB9D32B" w14:textId="212EF40F" w:rsidR="00FE7B88" w:rsidRPr="00F40EF7" w:rsidRDefault="00FE7B88" w:rsidP="00F40EF7">
      <w:pPr>
        <w:spacing w:line="360" w:lineRule="auto"/>
        <w:jc w:val="both"/>
        <w:rPr>
          <w:rFonts w:ascii="Century Gothic" w:eastAsia="Microsoft JhengHei" w:hAnsi="Century Gothic" w:cs="Arial"/>
          <w:b/>
          <w:sz w:val="24"/>
          <w:szCs w:val="24"/>
        </w:rPr>
      </w:pPr>
      <w:r w:rsidRPr="00F40EF7">
        <w:rPr>
          <w:rFonts w:ascii="Century Gothic" w:eastAsia="Microsoft JhengHei" w:hAnsi="Century Gothic" w:cs="Arial"/>
          <w:b/>
          <w:sz w:val="24"/>
          <w:szCs w:val="24"/>
        </w:rPr>
        <w:t>PROBLEM</w:t>
      </w:r>
      <w:r w:rsidR="00F40EF7">
        <w:rPr>
          <w:rFonts w:ascii="Century Gothic" w:eastAsia="Microsoft JhengHei" w:hAnsi="Century Gothic" w:cs="Arial"/>
          <w:b/>
          <w:sz w:val="24"/>
          <w:szCs w:val="24"/>
        </w:rPr>
        <w:t>ÁTICA</w:t>
      </w:r>
    </w:p>
    <w:p w14:paraId="55E6E2A6" w14:textId="77777777" w:rsidR="00FE7B88" w:rsidRPr="004E2068" w:rsidRDefault="00FE7B88" w:rsidP="00F40EF7">
      <w:pPr>
        <w:spacing w:line="360" w:lineRule="auto"/>
        <w:jc w:val="both"/>
        <w:rPr>
          <w:rFonts w:ascii="Microsoft JhengHei" w:eastAsia="Microsoft JhengHei" w:hAnsi="Microsoft JhengHei" w:cs="Arial"/>
          <w:sz w:val="24"/>
          <w:szCs w:val="24"/>
        </w:rPr>
      </w:pPr>
      <w:r w:rsidRPr="004E2068">
        <w:rPr>
          <w:rFonts w:ascii="Microsoft JhengHei" w:eastAsia="Microsoft JhengHei" w:hAnsi="Microsoft JhengHei" w:cs="Arial"/>
          <w:sz w:val="24"/>
          <w:szCs w:val="24"/>
        </w:rPr>
        <w:t xml:space="preserve">Se focalizan los principales problemas del área en: la falta de un Plan Operativo Integral de vigilancia consolidada y constante en las zonas urbanas para la prevención del delito, así como la vinculación con el área de alumbrado público para coadyuvar con la protección de las instalaciones públicas que conforman el patrimonio público municipal. Falta de continuidad y seguimiento de los programas preventivos delincuenciales con un sistema de medición confiable que genere indicadores para medir resultados operativos. La falta de fortalecimiento del parque vehicular del área de seguridad pública, como herramienta para la aplicación del Plan Operativo Integral de vigilancia. Falta de vinculación con el área de Alumbrado Público a efecto de fortalecer la iluminación en espacios públicos que coadyuven con la seguridad del ciudadano en horarios nocturnos y de la corporación policial en operativos de vigilancia, así como con el área de parques y jardines para impulsar el programa de poda del arbolado urbano </w:t>
      </w:r>
      <w:r w:rsidRPr="004E2068">
        <w:rPr>
          <w:rFonts w:ascii="Microsoft JhengHei" w:eastAsia="Microsoft JhengHei" w:hAnsi="Microsoft JhengHei" w:cs="Arial"/>
          <w:sz w:val="24"/>
          <w:szCs w:val="24"/>
        </w:rPr>
        <w:lastRenderedPageBreak/>
        <w:t>que obstruye la visibilidad de cámaras de video vigilancia. Falta de estrategias de capacitación dirigidas a la sociedad de Gómez Farías, para la prevención del delito principalmente en el robo a casa habitación.</w:t>
      </w:r>
    </w:p>
    <w:p w14:paraId="1591E5D4" w14:textId="77777777" w:rsidR="00FE7B88" w:rsidRPr="004E2068" w:rsidRDefault="00FE7B88" w:rsidP="00F40EF7">
      <w:pPr>
        <w:spacing w:line="360" w:lineRule="auto"/>
        <w:jc w:val="both"/>
        <w:rPr>
          <w:rFonts w:ascii="Microsoft JhengHei" w:eastAsia="Microsoft JhengHei" w:hAnsi="Microsoft JhengHei" w:cs="Arial"/>
          <w:b/>
          <w:sz w:val="24"/>
          <w:szCs w:val="24"/>
        </w:rPr>
      </w:pPr>
      <w:r w:rsidRPr="004E2068">
        <w:rPr>
          <w:rFonts w:ascii="Microsoft JhengHei" w:eastAsia="Microsoft JhengHei" w:hAnsi="Microsoft JhengHei" w:cs="Arial"/>
          <w:sz w:val="24"/>
          <w:szCs w:val="24"/>
        </w:rPr>
        <w:t>Finalmente, en el contexto del diagnóstico se concluye que, derivado de diversos métodos de interactuación con la ciudadanía, una de las principales demandas hoy en día es la mejora inmediata y continua de la corporación de Seguridad Pública, para convertir a Gómez Farías en un municipio seguro, capaz de ofertar a la inversión local y foránea las condiciones necesarias para su desarrollo.</w:t>
      </w:r>
    </w:p>
    <w:p w14:paraId="192AC298" w14:textId="77777777" w:rsidR="00FE7B88" w:rsidRPr="004E2068" w:rsidRDefault="00FE7B88" w:rsidP="00F40EF7">
      <w:pPr>
        <w:spacing w:line="360" w:lineRule="auto"/>
        <w:jc w:val="both"/>
        <w:rPr>
          <w:rFonts w:ascii="Microsoft JhengHei" w:eastAsia="Microsoft JhengHei" w:hAnsi="Microsoft JhengHei" w:cs="Arial"/>
          <w:b/>
          <w:sz w:val="24"/>
          <w:szCs w:val="24"/>
        </w:rPr>
      </w:pPr>
    </w:p>
    <w:p w14:paraId="18780D20" w14:textId="63D8CB02" w:rsidR="00FE7B88" w:rsidRPr="00745D02" w:rsidRDefault="00FE7B88" w:rsidP="00F40EF7">
      <w:pPr>
        <w:spacing w:line="360" w:lineRule="auto"/>
        <w:rPr>
          <w:rFonts w:ascii="Century Gothic" w:eastAsia="Microsoft JhengHei" w:hAnsi="Century Gothic" w:cs="Arial"/>
          <w:b/>
          <w:sz w:val="24"/>
          <w:szCs w:val="24"/>
        </w:rPr>
      </w:pPr>
      <w:r w:rsidRPr="00745D02">
        <w:rPr>
          <w:rFonts w:ascii="Century Gothic" w:eastAsia="Microsoft JhengHei" w:hAnsi="Century Gothic" w:cs="Arial"/>
          <w:b/>
          <w:sz w:val="24"/>
          <w:szCs w:val="24"/>
        </w:rPr>
        <w:t>OBJETIVOS</w:t>
      </w:r>
    </w:p>
    <w:p w14:paraId="509C382D" w14:textId="2806CC63" w:rsidR="00A02FA2" w:rsidRPr="004E2068" w:rsidRDefault="00FE7B88" w:rsidP="00F40EF7">
      <w:pPr>
        <w:spacing w:line="360" w:lineRule="auto"/>
        <w:jc w:val="both"/>
        <w:rPr>
          <w:rFonts w:ascii="Microsoft JhengHei" w:eastAsia="Microsoft JhengHei" w:hAnsi="Microsoft JhengHei" w:cs="Arial"/>
          <w:sz w:val="24"/>
          <w:szCs w:val="24"/>
        </w:rPr>
      </w:pPr>
      <w:r w:rsidRPr="004E2068">
        <w:rPr>
          <w:rFonts w:ascii="Microsoft JhengHei" w:eastAsia="Microsoft JhengHei" w:hAnsi="Microsoft JhengHei" w:cs="Arial"/>
          <w:sz w:val="24"/>
          <w:szCs w:val="24"/>
        </w:rPr>
        <w:t>Reducir los índices delictivos en beneficio de la integridad física y patrimonial de los habitantes de Gómez Farías.</w:t>
      </w:r>
      <w:r w:rsidR="00A02FA2" w:rsidRPr="004E2068">
        <w:rPr>
          <w:rFonts w:ascii="Microsoft JhengHei" w:eastAsia="Microsoft JhengHei" w:hAnsi="Microsoft JhengHei" w:cs="Arial"/>
          <w:sz w:val="24"/>
          <w:szCs w:val="24"/>
        </w:rPr>
        <w:t xml:space="preserve">SJ32objetivos temático narrativo Disminuir la incidencia delictiva con base en el fortalecimiento de las capacidades institucionales, el vínculo con la ciudadanía y la erradicación de la impunidad. </w:t>
      </w:r>
      <w:r w:rsidR="002F5017" w:rsidRPr="004E2068">
        <w:rPr>
          <w:rFonts w:ascii="Microsoft JhengHei" w:eastAsia="Microsoft JhengHei" w:hAnsi="Microsoft JhengHei" w:cs="Arial"/>
          <w:sz w:val="24"/>
          <w:szCs w:val="24"/>
        </w:rPr>
        <w:t>Construir la</w:t>
      </w:r>
      <w:r w:rsidR="00A02FA2" w:rsidRPr="004E2068">
        <w:rPr>
          <w:rFonts w:ascii="Microsoft JhengHei" w:eastAsia="Microsoft JhengHei" w:hAnsi="Microsoft JhengHei" w:cs="Arial"/>
          <w:sz w:val="24"/>
          <w:szCs w:val="24"/>
        </w:rPr>
        <w:t xml:space="preserve"> paz y la seguridad con respeto a os derechos </w:t>
      </w:r>
      <w:r w:rsidR="002F5017" w:rsidRPr="004E2068">
        <w:rPr>
          <w:rFonts w:ascii="Microsoft JhengHei" w:eastAsia="Microsoft JhengHei" w:hAnsi="Microsoft JhengHei" w:cs="Arial"/>
          <w:sz w:val="24"/>
          <w:szCs w:val="24"/>
        </w:rPr>
        <w:t>Humanos, preservar la seguridad nacional, combatir la corrupción y mejorar la gestión pública</w:t>
      </w:r>
      <w:r w:rsidR="00745D02">
        <w:rPr>
          <w:rFonts w:ascii="Microsoft JhengHei" w:eastAsia="Microsoft JhengHei" w:hAnsi="Microsoft JhengHei" w:cs="Arial"/>
          <w:sz w:val="24"/>
          <w:szCs w:val="24"/>
        </w:rPr>
        <w:t>.</w:t>
      </w:r>
    </w:p>
    <w:p w14:paraId="1423EEFE" w14:textId="77777777" w:rsidR="00EC7EF1" w:rsidRPr="004E2068" w:rsidRDefault="00EC7EF1" w:rsidP="00FE7B88">
      <w:pPr>
        <w:jc w:val="both"/>
        <w:rPr>
          <w:rFonts w:ascii="Microsoft JhengHei" w:eastAsia="Microsoft JhengHei" w:hAnsi="Microsoft JhengHei" w:cs="Arial"/>
          <w:color w:val="000000" w:themeColor="text1"/>
          <w:sz w:val="24"/>
          <w:szCs w:val="24"/>
        </w:rPr>
      </w:pPr>
    </w:p>
    <w:p w14:paraId="315546FD" w14:textId="77777777" w:rsidR="00745D02" w:rsidRDefault="00745D02" w:rsidP="00EC7EF1">
      <w:pPr>
        <w:jc w:val="both"/>
        <w:rPr>
          <w:rFonts w:ascii="Microsoft JhengHei" w:eastAsia="Microsoft JhengHei" w:hAnsi="Microsoft JhengHei" w:cs="Arial"/>
          <w:b/>
          <w:color w:val="000000" w:themeColor="text1"/>
          <w:sz w:val="24"/>
          <w:szCs w:val="24"/>
        </w:rPr>
      </w:pPr>
    </w:p>
    <w:p w14:paraId="7098BFA2" w14:textId="77777777" w:rsidR="00745D02" w:rsidRDefault="00745D02" w:rsidP="00EC7EF1">
      <w:pPr>
        <w:jc w:val="both"/>
        <w:rPr>
          <w:rFonts w:ascii="Microsoft JhengHei" w:eastAsia="Microsoft JhengHei" w:hAnsi="Microsoft JhengHei" w:cs="Arial"/>
          <w:b/>
          <w:color w:val="000000" w:themeColor="text1"/>
          <w:sz w:val="24"/>
          <w:szCs w:val="24"/>
        </w:rPr>
      </w:pPr>
    </w:p>
    <w:p w14:paraId="67514749" w14:textId="77777777" w:rsidR="00745D02" w:rsidRDefault="00745D02" w:rsidP="00745D02">
      <w:pPr>
        <w:spacing w:line="360" w:lineRule="auto"/>
        <w:rPr>
          <w:rFonts w:ascii="Century Gothic" w:eastAsia="Microsoft JhengHei" w:hAnsi="Century Gothic" w:cs="Arial"/>
          <w:b/>
          <w:sz w:val="24"/>
          <w:szCs w:val="24"/>
        </w:rPr>
      </w:pPr>
    </w:p>
    <w:p w14:paraId="4194352E" w14:textId="6A981457" w:rsidR="00EC7EF1" w:rsidRPr="004E2068" w:rsidRDefault="00EC7EF1" w:rsidP="00745D02">
      <w:pPr>
        <w:spacing w:line="360" w:lineRule="auto"/>
        <w:rPr>
          <w:rFonts w:ascii="Microsoft JhengHei" w:eastAsia="Microsoft JhengHei" w:hAnsi="Microsoft JhengHei" w:cs="Arial"/>
          <w:b/>
          <w:color w:val="000000" w:themeColor="text1"/>
          <w:sz w:val="24"/>
          <w:szCs w:val="24"/>
        </w:rPr>
      </w:pPr>
      <w:r w:rsidRPr="00745D02">
        <w:rPr>
          <w:rFonts w:ascii="Century Gothic" w:eastAsia="Microsoft JhengHei" w:hAnsi="Century Gothic" w:cs="Arial"/>
          <w:b/>
          <w:sz w:val="24"/>
          <w:szCs w:val="24"/>
        </w:rPr>
        <w:lastRenderedPageBreak/>
        <w:t>ESTRATEGIAS Y LINEAMIETOS DE ACCION:</w:t>
      </w:r>
    </w:p>
    <w:p w14:paraId="6DC8F44F" w14:textId="3428BB20" w:rsidR="00EC7EF1" w:rsidRPr="00745D02" w:rsidRDefault="00EC7EF1" w:rsidP="0069705F">
      <w:pPr>
        <w:pStyle w:val="Prrafodelista"/>
        <w:numPr>
          <w:ilvl w:val="0"/>
          <w:numId w:val="8"/>
        </w:numPr>
        <w:spacing w:line="240" w:lineRule="auto"/>
        <w:jc w:val="both"/>
        <w:rPr>
          <w:rFonts w:ascii="Microsoft JhengHei" w:eastAsia="Microsoft JhengHei" w:hAnsi="Microsoft JhengHei" w:cs="Arial"/>
          <w:sz w:val="24"/>
          <w:szCs w:val="24"/>
        </w:rPr>
      </w:pPr>
      <w:r w:rsidRPr="00745D02">
        <w:rPr>
          <w:rFonts w:ascii="Microsoft JhengHei" w:eastAsia="Microsoft JhengHei" w:hAnsi="Microsoft JhengHei" w:cs="Arial"/>
          <w:sz w:val="24"/>
          <w:szCs w:val="24"/>
        </w:rPr>
        <w:t xml:space="preserve">Desarrollo de esquemas eficientes de Prevención del delito, Profesionalizando el cuerpo de Seguridad Pública para su dignificación, privilegiando la participación ciudadana.  </w:t>
      </w:r>
    </w:p>
    <w:p w14:paraId="5151694B" w14:textId="55D6364B" w:rsidR="00EC7EF1" w:rsidRPr="00745D02" w:rsidRDefault="00EC7EF1" w:rsidP="0069705F">
      <w:pPr>
        <w:pStyle w:val="Prrafodelista"/>
        <w:numPr>
          <w:ilvl w:val="0"/>
          <w:numId w:val="8"/>
        </w:numPr>
        <w:spacing w:line="240" w:lineRule="auto"/>
        <w:jc w:val="both"/>
        <w:rPr>
          <w:rFonts w:ascii="Microsoft JhengHei" w:eastAsia="Microsoft JhengHei" w:hAnsi="Microsoft JhengHei" w:cs="Arial"/>
          <w:sz w:val="24"/>
          <w:szCs w:val="24"/>
        </w:rPr>
      </w:pPr>
      <w:r w:rsidRPr="00745D02">
        <w:rPr>
          <w:rFonts w:ascii="Microsoft JhengHei" w:eastAsia="Microsoft JhengHei" w:hAnsi="Microsoft JhengHei" w:cs="Arial"/>
          <w:sz w:val="24"/>
          <w:szCs w:val="24"/>
        </w:rPr>
        <w:t>Capacitar y asesorar al cuerpo de seguridad pública para la correcta aplicación de la legislación Municipal, Estatal y Federal en beneficio de la ciudadanía en el marco del respeto a los derechos humanos y actualizada con el nuevo marco jurídico federal.</w:t>
      </w:r>
    </w:p>
    <w:p w14:paraId="3B413FFB" w14:textId="5861E0F0" w:rsidR="00EC7EF1" w:rsidRPr="00745D02" w:rsidRDefault="00EC7EF1" w:rsidP="0069705F">
      <w:pPr>
        <w:pStyle w:val="Prrafodelista"/>
        <w:numPr>
          <w:ilvl w:val="0"/>
          <w:numId w:val="8"/>
        </w:numPr>
        <w:spacing w:line="240" w:lineRule="auto"/>
        <w:jc w:val="both"/>
        <w:rPr>
          <w:rFonts w:ascii="Microsoft JhengHei" w:eastAsia="Microsoft JhengHei" w:hAnsi="Microsoft JhengHei" w:cs="Arial"/>
          <w:sz w:val="24"/>
          <w:szCs w:val="24"/>
        </w:rPr>
      </w:pPr>
      <w:r w:rsidRPr="00745D02">
        <w:rPr>
          <w:rFonts w:ascii="Microsoft JhengHei" w:eastAsia="Microsoft JhengHei" w:hAnsi="Microsoft JhengHei" w:cs="Arial"/>
          <w:sz w:val="24"/>
          <w:szCs w:val="24"/>
        </w:rPr>
        <w:t>Rediseño de los programas para la prevención social en coordinación con el área de participación ciudadana que coadyuve con el área para la prevención del delito a través de talleres preventivos en colonias, establecimientos comerciales y difusión del plan operativo de vigilancia.</w:t>
      </w:r>
    </w:p>
    <w:p w14:paraId="514062F0" w14:textId="0615C32C" w:rsidR="00EC7EF1" w:rsidRPr="00745D02" w:rsidRDefault="00EC7EF1" w:rsidP="0069705F">
      <w:pPr>
        <w:pStyle w:val="Prrafodelista"/>
        <w:numPr>
          <w:ilvl w:val="0"/>
          <w:numId w:val="8"/>
        </w:numPr>
        <w:spacing w:line="240" w:lineRule="auto"/>
        <w:jc w:val="both"/>
        <w:rPr>
          <w:rFonts w:ascii="Microsoft JhengHei" w:eastAsia="Microsoft JhengHei" w:hAnsi="Microsoft JhengHei" w:cs="Arial"/>
          <w:sz w:val="24"/>
          <w:szCs w:val="24"/>
        </w:rPr>
      </w:pPr>
      <w:r w:rsidRPr="00745D02">
        <w:rPr>
          <w:rFonts w:ascii="Microsoft JhengHei" w:eastAsia="Microsoft JhengHei" w:hAnsi="Microsoft JhengHei" w:cs="Arial"/>
          <w:sz w:val="24"/>
          <w:szCs w:val="24"/>
        </w:rPr>
        <w:t xml:space="preserve">Reingeniería del plan operativo de vigilancia para la prevención del delito. </w:t>
      </w:r>
    </w:p>
    <w:p w14:paraId="2E207A77" w14:textId="2CF14F95" w:rsidR="00EC7EF1" w:rsidRPr="00745D02" w:rsidRDefault="00EC7EF1" w:rsidP="0069705F">
      <w:pPr>
        <w:pStyle w:val="Prrafodelista"/>
        <w:numPr>
          <w:ilvl w:val="0"/>
          <w:numId w:val="8"/>
        </w:numPr>
        <w:spacing w:line="240" w:lineRule="auto"/>
        <w:jc w:val="both"/>
        <w:rPr>
          <w:rFonts w:ascii="Microsoft JhengHei" w:eastAsia="Microsoft JhengHei" w:hAnsi="Microsoft JhengHei" w:cs="Arial"/>
          <w:sz w:val="24"/>
          <w:szCs w:val="24"/>
        </w:rPr>
      </w:pPr>
      <w:r w:rsidRPr="00745D02">
        <w:rPr>
          <w:rFonts w:ascii="Microsoft JhengHei" w:eastAsia="Microsoft JhengHei" w:hAnsi="Microsoft JhengHei" w:cs="Arial"/>
          <w:sz w:val="24"/>
          <w:szCs w:val="24"/>
        </w:rPr>
        <w:t xml:space="preserve">Actualizar la Reglamentación Municipal. </w:t>
      </w:r>
    </w:p>
    <w:p w14:paraId="2F06E293" w14:textId="54DEE693" w:rsidR="00EC7EF1" w:rsidRPr="00745D02" w:rsidRDefault="00EC7EF1" w:rsidP="0069705F">
      <w:pPr>
        <w:pStyle w:val="Prrafodelista"/>
        <w:numPr>
          <w:ilvl w:val="0"/>
          <w:numId w:val="8"/>
        </w:numPr>
        <w:spacing w:line="240" w:lineRule="auto"/>
        <w:jc w:val="both"/>
        <w:rPr>
          <w:rFonts w:ascii="Microsoft JhengHei" w:eastAsia="Microsoft JhengHei" w:hAnsi="Microsoft JhengHei" w:cs="Arial"/>
          <w:sz w:val="24"/>
          <w:szCs w:val="24"/>
        </w:rPr>
      </w:pPr>
      <w:r w:rsidRPr="00745D02">
        <w:rPr>
          <w:rFonts w:ascii="Microsoft JhengHei" w:eastAsia="Microsoft JhengHei" w:hAnsi="Microsoft JhengHei" w:cs="Arial"/>
          <w:sz w:val="24"/>
          <w:szCs w:val="24"/>
        </w:rPr>
        <w:t>Ejecutar y simplificar eficientemente los Actos Administrativos internos, así como la atención pronta y expedita a la Ciudadanía.</w:t>
      </w:r>
    </w:p>
    <w:p w14:paraId="362EF5D9" w14:textId="0046CFFF" w:rsidR="00EC7EF1" w:rsidRPr="00745D02" w:rsidRDefault="00EC7EF1" w:rsidP="0069705F">
      <w:pPr>
        <w:pStyle w:val="Prrafodelista"/>
        <w:numPr>
          <w:ilvl w:val="0"/>
          <w:numId w:val="8"/>
        </w:numPr>
        <w:spacing w:line="240" w:lineRule="auto"/>
        <w:jc w:val="both"/>
        <w:rPr>
          <w:rFonts w:ascii="Microsoft JhengHei" w:eastAsia="Microsoft JhengHei" w:hAnsi="Microsoft JhengHei" w:cs="Arial"/>
          <w:sz w:val="24"/>
          <w:szCs w:val="24"/>
        </w:rPr>
      </w:pPr>
      <w:r w:rsidRPr="00745D02">
        <w:rPr>
          <w:rFonts w:ascii="Microsoft JhengHei" w:eastAsia="Microsoft JhengHei" w:hAnsi="Microsoft JhengHei" w:cs="Arial"/>
          <w:sz w:val="24"/>
          <w:szCs w:val="24"/>
        </w:rPr>
        <w:t xml:space="preserve">Impulso de la cultura del respeto a los Derechos Humanos. </w:t>
      </w:r>
    </w:p>
    <w:p w14:paraId="429A5482" w14:textId="1E803401" w:rsidR="00EC7EF1" w:rsidRPr="00745D02" w:rsidRDefault="00EC7EF1" w:rsidP="0069705F">
      <w:pPr>
        <w:pStyle w:val="Prrafodelista"/>
        <w:numPr>
          <w:ilvl w:val="0"/>
          <w:numId w:val="8"/>
        </w:numPr>
        <w:spacing w:line="240" w:lineRule="auto"/>
        <w:jc w:val="both"/>
        <w:rPr>
          <w:rFonts w:ascii="Microsoft JhengHei" w:eastAsia="Microsoft JhengHei" w:hAnsi="Microsoft JhengHei" w:cs="Arial"/>
          <w:sz w:val="24"/>
          <w:szCs w:val="24"/>
        </w:rPr>
      </w:pPr>
      <w:r w:rsidRPr="00745D02">
        <w:rPr>
          <w:rFonts w:ascii="Microsoft JhengHei" w:eastAsia="Microsoft JhengHei" w:hAnsi="Microsoft JhengHei" w:cs="Arial"/>
          <w:sz w:val="24"/>
          <w:szCs w:val="24"/>
        </w:rPr>
        <w:t xml:space="preserve">Actualizar el Sistema de Comunicación y video vigilancia de la Dirección de Seguridad Pública con Tecnología de Punta. </w:t>
      </w:r>
    </w:p>
    <w:p w14:paraId="35A8CE6D" w14:textId="052D2CA3" w:rsidR="00EC7EF1" w:rsidRPr="00745D02" w:rsidRDefault="00EC7EF1" w:rsidP="0069705F">
      <w:pPr>
        <w:pStyle w:val="Prrafodelista"/>
        <w:numPr>
          <w:ilvl w:val="0"/>
          <w:numId w:val="8"/>
        </w:numPr>
        <w:spacing w:line="240" w:lineRule="auto"/>
        <w:jc w:val="both"/>
        <w:rPr>
          <w:rFonts w:ascii="Microsoft JhengHei" w:eastAsia="Microsoft JhengHei" w:hAnsi="Microsoft JhengHei" w:cs="Arial"/>
          <w:sz w:val="24"/>
          <w:szCs w:val="24"/>
        </w:rPr>
      </w:pPr>
      <w:r w:rsidRPr="00745D02">
        <w:rPr>
          <w:rFonts w:ascii="Microsoft JhengHei" w:eastAsia="Microsoft JhengHei" w:hAnsi="Microsoft JhengHei" w:cs="Arial"/>
          <w:sz w:val="24"/>
          <w:szCs w:val="24"/>
        </w:rPr>
        <w:t xml:space="preserve">Modernizar y adquirir armamento y equipo el cuerpo de Seguridad Pública. i. Integrar y actualizar bases de datos criminógenos, mapas de riesgos y desplazamientos delictivos en la localidad. </w:t>
      </w:r>
    </w:p>
    <w:p w14:paraId="28040537" w14:textId="52BDAC15" w:rsidR="00EC7EF1" w:rsidRPr="00745D02" w:rsidRDefault="00EC7EF1" w:rsidP="0069705F">
      <w:pPr>
        <w:pStyle w:val="Prrafodelista"/>
        <w:numPr>
          <w:ilvl w:val="0"/>
          <w:numId w:val="8"/>
        </w:numPr>
        <w:spacing w:line="240" w:lineRule="auto"/>
        <w:jc w:val="both"/>
        <w:rPr>
          <w:rFonts w:ascii="Microsoft JhengHei" w:eastAsia="Microsoft JhengHei" w:hAnsi="Microsoft JhengHei" w:cs="Arial"/>
          <w:sz w:val="24"/>
          <w:szCs w:val="24"/>
        </w:rPr>
      </w:pPr>
      <w:r w:rsidRPr="00745D02">
        <w:rPr>
          <w:rFonts w:ascii="Microsoft JhengHei" w:eastAsia="Microsoft JhengHei" w:hAnsi="Microsoft JhengHei" w:cs="Arial"/>
          <w:sz w:val="24"/>
          <w:szCs w:val="24"/>
        </w:rPr>
        <w:t>Establecer mecanismos de coordinación con las diferentes dependencias Federales y Estatales.</w:t>
      </w:r>
    </w:p>
    <w:p w14:paraId="3D48CBBF" w14:textId="46FCF466" w:rsidR="00EC7EF1" w:rsidRDefault="00EC7EF1" w:rsidP="0069705F">
      <w:pPr>
        <w:pStyle w:val="Prrafodelista"/>
        <w:numPr>
          <w:ilvl w:val="0"/>
          <w:numId w:val="8"/>
        </w:numPr>
        <w:spacing w:line="240" w:lineRule="auto"/>
        <w:jc w:val="both"/>
        <w:rPr>
          <w:rFonts w:ascii="Microsoft JhengHei" w:eastAsia="Microsoft JhengHei" w:hAnsi="Microsoft JhengHei" w:cs="Arial"/>
          <w:sz w:val="24"/>
          <w:szCs w:val="24"/>
        </w:rPr>
      </w:pPr>
      <w:r w:rsidRPr="00745D02">
        <w:rPr>
          <w:rFonts w:ascii="Microsoft JhengHei" w:eastAsia="Microsoft JhengHei" w:hAnsi="Microsoft JhengHei" w:cs="Arial"/>
          <w:sz w:val="24"/>
          <w:szCs w:val="24"/>
        </w:rPr>
        <w:t>Desarrollo de esquemas eficientes de Prevención del delito, privilegiand</w:t>
      </w:r>
      <w:r w:rsidR="005F7EE4" w:rsidRPr="00745D02">
        <w:rPr>
          <w:rFonts w:ascii="Microsoft JhengHei" w:eastAsia="Microsoft JhengHei" w:hAnsi="Microsoft JhengHei" w:cs="Arial"/>
          <w:sz w:val="24"/>
          <w:szCs w:val="24"/>
        </w:rPr>
        <w:t xml:space="preserve">o la participación </w:t>
      </w:r>
      <w:r w:rsidR="00346101" w:rsidRPr="00745D02">
        <w:rPr>
          <w:rFonts w:ascii="Microsoft JhengHei" w:eastAsia="Microsoft JhengHei" w:hAnsi="Microsoft JhengHei" w:cs="Arial"/>
          <w:sz w:val="24"/>
          <w:szCs w:val="24"/>
        </w:rPr>
        <w:t>ciudadana. Prevenir</w:t>
      </w:r>
      <w:r w:rsidRPr="00745D02">
        <w:rPr>
          <w:rFonts w:ascii="Microsoft JhengHei" w:eastAsia="Microsoft JhengHei" w:hAnsi="Microsoft JhengHei" w:cs="Arial"/>
          <w:sz w:val="24"/>
          <w:szCs w:val="24"/>
        </w:rPr>
        <w:t xml:space="preserve"> y combatir los delitos, abusos, apegados al marco legal y a los derechos humanos de la ciudadanía, manteniendo el orden público en el municipio.</w:t>
      </w:r>
    </w:p>
    <w:p w14:paraId="7138D008" w14:textId="0C6AE4D8" w:rsidR="00745D02" w:rsidRDefault="00745D02" w:rsidP="00745D02">
      <w:pPr>
        <w:pStyle w:val="Prrafodelista"/>
        <w:spacing w:line="360" w:lineRule="auto"/>
        <w:jc w:val="both"/>
        <w:rPr>
          <w:rFonts w:ascii="Microsoft JhengHei" w:eastAsia="Microsoft JhengHei" w:hAnsi="Microsoft JhengHei" w:cs="Arial"/>
          <w:sz w:val="24"/>
          <w:szCs w:val="24"/>
        </w:rPr>
      </w:pPr>
    </w:p>
    <w:p w14:paraId="6DC215C9" w14:textId="7680D913" w:rsidR="00745D02" w:rsidRPr="00745D02" w:rsidRDefault="00745D02" w:rsidP="00745D02">
      <w:pPr>
        <w:spacing w:after="200" w:line="276" w:lineRule="auto"/>
        <w:rPr>
          <w:rFonts w:ascii="Microsoft JhengHei" w:eastAsia="Microsoft JhengHei" w:hAnsi="Microsoft JhengHei" w:cs="Arial"/>
          <w:sz w:val="24"/>
          <w:szCs w:val="24"/>
          <w:lang w:val="es-ES"/>
        </w:rPr>
      </w:pPr>
    </w:p>
    <w:tbl>
      <w:tblPr>
        <w:tblStyle w:val="Tablaconcuadrcula"/>
        <w:tblpPr w:leftFromText="141" w:rightFromText="141" w:vertAnchor="text" w:horzAnchor="margin" w:tblpY="24"/>
        <w:tblW w:w="8642"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2926"/>
        <w:gridCol w:w="2831"/>
        <w:gridCol w:w="2885"/>
      </w:tblGrid>
      <w:tr w:rsidR="00745D02" w:rsidRPr="003069DD" w14:paraId="22881E88" w14:textId="77777777" w:rsidTr="00745D02">
        <w:trPr>
          <w:trHeight w:val="841"/>
        </w:trPr>
        <w:tc>
          <w:tcPr>
            <w:tcW w:w="8642" w:type="dxa"/>
            <w:gridSpan w:val="3"/>
            <w:shd w:val="clear" w:color="auto" w:fill="CCCC00"/>
            <w:vAlign w:val="center"/>
          </w:tcPr>
          <w:p w14:paraId="385EA90D" w14:textId="77777777" w:rsidR="00745D02" w:rsidRPr="00A603DC" w:rsidRDefault="00745D02" w:rsidP="00601299">
            <w:pPr>
              <w:pStyle w:val="Sinespaciado"/>
              <w:ind w:left="720"/>
              <w:jc w:val="center"/>
              <w:rPr>
                <w:rFonts w:ascii="Arial" w:hAnsi="Arial" w:cs="Arial"/>
                <w:b/>
                <w:sz w:val="24"/>
                <w:szCs w:val="24"/>
              </w:rPr>
            </w:pPr>
            <w:r w:rsidRPr="003C133B">
              <w:rPr>
                <w:rFonts w:ascii="Arial" w:hAnsi="Arial" w:cs="Arial"/>
                <w:b/>
                <w:sz w:val="24"/>
                <w:szCs w:val="24"/>
              </w:rPr>
              <w:lastRenderedPageBreak/>
              <w:t>TABLA DE ALINEACIÓN DE OBJETIVOS CON OTROS INSTRUMENTOS DE PLANEACION</w:t>
            </w:r>
          </w:p>
        </w:tc>
      </w:tr>
      <w:tr w:rsidR="00745D02" w:rsidRPr="003069DD" w14:paraId="03E0058A" w14:textId="77777777" w:rsidTr="00745D02">
        <w:trPr>
          <w:trHeight w:val="796"/>
        </w:trPr>
        <w:tc>
          <w:tcPr>
            <w:tcW w:w="2926" w:type="dxa"/>
            <w:shd w:val="clear" w:color="auto" w:fill="1E8186"/>
            <w:vAlign w:val="center"/>
            <w:hideMark/>
          </w:tcPr>
          <w:p w14:paraId="5B0813D5" w14:textId="77777777" w:rsidR="00745D02" w:rsidRPr="003069DD" w:rsidRDefault="00745D02" w:rsidP="00601299">
            <w:pPr>
              <w:jc w:val="center"/>
              <w:rPr>
                <w:rFonts w:ascii="Arial" w:hAnsi="Arial" w:cs="Arial"/>
                <w:b/>
                <w:bCs/>
                <w:color w:val="FFFFFF" w:themeColor="background1"/>
                <w:szCs w:val="24"/>
                <w:lang w:val="es-ES"/>
              </w:rPr>
            </w:pPr>
            <w:r w:rsidRPr="003069DD">
              <w:rPr>
                <w:rFonts w:ascii="Arial" w:hAnsi="Arial" w:cs="Arial"/>
                <w:b/>
                <w:bCs/>
                <w:color w:val="FFFFFF" w:themeColor="background1"/>
                <w:szCs w:val="24"/>
                <w:lang w:val="es-ES"/>
              </w:rPr>
              <w:t>OBJETIVOS PLAN DE DESARROLLO MUNICIPAL</w:t>
            </w:r>
          </w:p>
        </w:tc>
        <w:tc>
          <w:tcPr>
            <w:tcW w:w="2831" w:type="dxa"/>
            <w:shd w:val="clear" w:color="auto" w:fill="1E8186"/>
            <w:vAlign w:val="center"/>
            <w:hideMark/>
          </w:tcPr>
          <w:p w14:paraId="5FEDB6B5" w14:textId="77777777" w:rsidR="00745D02" w:rsidRPr="003069DD" w:rsidRDefault="00745D02" w:rsidP="00601299">
            <w:pPr>
              <w:jc w:val="center"/>
              <w:rPr>
                <w:rFonts w:ascii="Arial" w:hAnsi="Arial" w:cs="Arial"/>
                <w:b/>
                <w:bCs/>
                <w:color w:val="FFFFFF" w:themeColor="background1"/>
                <w:szCs w:val="24"/>
                <w:lang w:val="es-ES"/>
              </w:rPr>
            </w:pPr>
            <w:r w:rsidRPr="003069DD">
              <w:rPr>
                <w:rFonts w:ascii="Arial" w:hAnsi="Arial" w:cs="Arial"/>
                <w:b/>
                <w:bCs/>
                <w:color w:val="FFFFFF" w:themeColor="background1"/>
                <w:szCs w:val="24"/>
                <w:lang w:val="es-ES"/>
              </w:rPr>
              <w:t>OBJETIVOS PLAN DE DESARROLLO ESTATAL</w:t>
            </w:r>
          </w:p>
        </w:tc>
        <w:tc>
          <w:tcPr>
            <w:tcW w:w="2885" w:type="dxa"/>
            <w:shd w:val="clear" w:color="auto" w:fill="1E8186"/>
            <w:vAlign w:val="center"/>
            <w:hideMark/>
          </w:tcPr>
          <w:p w14:paraId="3D871FE9" w14:textId="77777777" w:rsidR="00745D02" w:rsidRPr="003069DD" w:rsidRDefault="00745D02" w:rsidP="00601299">
            <w:pPr>
              <w:jc w:val="center"/>
              <w:rPr>
                <w:rFonts w:ascii="Arial" w:hAnsi="Arial" w:cs="Arial"/>
                <w:b/>
                <w:bCs/>
                <w:color w:val="FFFFFF" w:themeColor="background1"/>
                <w:szCs w:val="24"/>
                <w:lang w:val="es-ES"/>
              </w:rPr>
            </w:pPr>
            <w:r w:rsidRPr="003069DD">
              <w:rPr>
                <w:rFonts w:ascii="Arial" w:hAnsi="Arial" w:cs="Arial"/>
                <w:b/>
                <w:bCs/>
                <w:color w:val="FFFFFF" w:themeColor="background1"/>
                <w:szCs w:val="24"/>
                <w:lang w:val="es-ES"/>
              </w:rPr>
              <w:t>OBJETIVOS DEL PLAN DE NACIONAL DE DESARROLLO</w:t>
            </w:r>
          </w:p>
        </w:tc>
      </w:tr>
      <w:tr w:rsidR="00745D02" w:rsidRPr="003069DD" w14:paraId="0E676F57" w14:textId="77777777" w:rsidTr="00745D02">
        <w:trPr>
          <w:trHeight w:val="1161"/>
        </w:trPr>
        <w:tc>
          <w:tcPr>
            <w:tcW w:w="2926" w:type="dxa"/>
            <w:shd w:val="clear" w:color="auto" w:fill="BFBFBF" w:themeFill="background1" w:themeFillShade="BF"/>
            <w:vAlign w:val="center"/>
            <w:hideMark/>
          </w:tcPr>
          <w:p w14:paraId="44413515" w14:textId="77777777" w:rsidR="00745D02" w:rsidRPr="00A603DC" w:rsidRDefault="00745D02" w:rsidP="00601299">
            <w:pPr>
              <w:jc w:val="center"/>
              <w:rPr>
                <w:rFonts w:ascii="Arial" w:hAnsi="Arial" w:cs="Arial"/>
                <w:sz w:val="20"/>
                <w:szCs w:val="20"/>
                <w:lang w:val="es-ES"/>
              </w:rPr>
            </w:pPr>
            <w:r w:rsidRPr="00A603DC">
              <w:rPr>
                <w:rFonts w:ascii="Arial" w:hAnsi="Arial" w:cs="Arial"/>
                <w:sz w:val="20"/>
                <w:szCs w:val="20"/>
                <w:lang w:val="es-ES"/>
              </w:rPr>
              <w:t>Reducir los índices delictivos en beneficio de la integridad física y patrimonial de los habitantes de Gómez Farías.</w:t>
            </w:r>
          </w:p>
        </w:tc>
        <w:tc>
          <w:tcPr>
            <w:tcW w:w="2831" w:type="dxa"/>
            <w:shd w:val="clear" w:color="auto" w:fill="F2F2F2" w:themeFill="background1" w:themeFillShade="F2"/>
            <w:vAlign w:val="center"/>
            <w:hideMark/>
          </w:tcPr>
          <w:p w14:paraId="149E3814" w14:textId="77777777" w:rsidR="00745D02" w:rsidRPr="00A603DC" w:rsidRDefault="00745D02" w:rsidP="00601299">
            <w:pPr>
              <w:jc w:val="center"/>
              <w:rPr>
                <w:rFonts w:ascii="Arial" w:hAnsi="Arial" w:cs="Arial"/>
                <w:sz w:val="20"/>
                <w:szCs w:val="20"/>
                <w:lang w:val="es-ES"/>
              </w:rPr>
            </w:pPr>
            <w:r w:rsidRPr="00A603DC">
              <w:rPr>
                <w:rFonts w:ascii="Arial" w:hAnsi="Arial" w:cs="Arial"/>
                <w:sz w:val="20"/>
                <w:szCs w:val="20"/>
                <w:lang w:val="es-ES"/>
              </w:rPr>
              <w:t>Proteger la libertad, integridad física y el patrimonio de la población.</w:t>
            </w:r>
          </w:p>
        </w:tc>
        <w:tc>
          <w:tcPr>
            <w:tcW w:w="2885" w:type="dxa"/>
            <w:shd w:val="clear" w:color="auto" w:fill="BFBFBF" w:themeFill="background1" w:themeFillShade="BF"/>
            <w:vAlign w:val="center"/>
            <w:hideMark/>
          </w:tcPr>
          <w:p w14:paraId="14DA1BC1" w14:textId="77777777" w:rsidR="00745D02" w:rsidRPr="00A603DC" w:rsidRDefault="00745D02" w:rsidP="00601299">
            <w:pPr>
              <w:jc w:val="center"/>
              <w:rPr>
                <w:rFonts w:ascii="Arial" w:hAnsi="Arial" w:cs="Arial"/>
                <w:sz w:val="20"/>
                <w:szCs w:val="20"/>
                <w:lang w:val="es-ES"/>
              </w:rPr>
            </w:pPr>
            <w:r w:rsidRPr="00A603DC">
              <w:rPr>
                <w:rFonts w:ascii="Arial" w:hAnsi="Arial" w:cs="Arial"/>
                <w:sz w:val="20"/>
                <w:szCs w:val="20"/>
                <w:lang w:val="es-ES"/>
              </w:rPr>
              <w:t>Promover y fortalecer la gobernabilidad democrática.</w:t>
            </w:r>
          </w:p>
        </w:tc>
      </w:tr>
    </w:tbl>
    <w:p w14:paraId="617903B6" w14:textId="1BD94786" w:rsidR="00745D02" w:rsidRDefault="00745D02" w:rsidP="005F7EE4">
      <w:pPr>
        <w:jc w:val="both"/>
        <w:rPr>
          <w:rFonts w:ascii="Microsoft JhengHei" w:eastAsia="Microsoft JhengHei" w:hAnsi="Microsoft JhengHei"/>
          <w:color w:val="7030A0"/>
        </w:rPr>
      </w:pPr>
    </w:p>
    <w:p w14:paraId="7999AB0E" w14:textId="77777777" w:rsidR="00745D02" w:rsidRDefault="00745D02" w:rsidP="005F7EE4">
      <w:pPr>
        <w:jc w:val="both"/>
        <w:rPr>
          <w:rFonts w:ascii="Microsoft JhengHei" w:eastAsia="Microsoft JhengHei" w:hAnsi="Microsoft JhengHei"/>
          <w:color w:val="7030A0"/>
        </w:rPr>
      </w:pPr>
    </w:p>
    <w:tbl>
      <w:tblPr>
        <w:tblStyle w:val="Tablaconcuadrcula"/>
        <w:tblW w:w="8605"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1550"/>
        <w:gridCol w:w="1847"/>
        <w:gridCol w:w="1368"/>
        <w:gridCol w:w="1231"/>
        <w:gridCol w:w="1214"/>
        <w:gridCol w:w="1395"/>
      </w:tblGrid>
      <w:tr w:rsidR="00745D02" w14:paraId="762D0573" w14:textId="77777777" w:rsidTr="00745D02">
        <w:trPr>
          <w:trHeight w:val="327"/>
        </w:trPr>
        <w:tc>
          <w:tcPr>
            <w:tcW w:w="8605" w:type="dxa"/>
            <w:gridSpan w:val="6"/>
            <w:shd w:val="clear" w:color="auto" w:fill="CCCC00"/>
            <w:vAlign w:val="center"/>
          </w:tcPr>
          <w:p w14:paraId="3BC4563C" w14:textId="77777777" w:rsidR="00745D02" w:rsidRPr="00994E4A" w:rsidRDefault="00745D02" w:rsidP="00601299">
            <w:pPr>
              <w:jc w:val="center"/>
              <w:rPr>
                <w:rFonts w:ascii="Arial" w:hAnsi="Arial" w:cs="Arial"/>
                <w:b/>
                <w:bCs/>
                <w:color w:val="FFFFFF" w:themeColor="background1"/>
                <w:sz w:val="20"/>
                <w:szCs w:val="20"/>
                <w:lang w:val="es-ES"/>
              </w:rPr>
            </w:pPr>
            <w:r>
              <w:rPr>
                <w:rFonts w:ascii="Arial" w:hAnsi="Arial" w:cs="Arial"/>
                <w:b/>
                <w:bCs/>
                <w:sz w:val="24"/>
                <w:szCs w:val="24"/>
                <w:lang w:val="es-ES"/>
              </w:rPr>
              <w:t>TABLA DE INDICADORES Y METAS</w:t>
            </w:r>
          </w:p>
        </w:tc>
      </w:tr>
      <w:tr w:rsidR="00745D02" w14:paraId="1D62DF34" w14:textId="77777777" w:rsidTr="00745D02">
        <w:tc>
          <w:tcPr>
            <w:tcW w:w="1550" w:type="dxa"/>
            <w:shd w:val="clear" w:color="auto" w:fill="1E8186"/>
            <w:vAlign w:val="center"/>
            <w:hideMark/>
          </w:tcPr>
          <w:p w14:paraId="3836FBD2" w14:textId="77777777" w:rsidR="00745D02" w:rsidRPr="00994E4A" w:rsidRDefault="00745D02" w:rsidP="00601299">
            <w:pPr>
              <w:jc w:val="center"/>
              <w:rPr>
                <w:rFonts w:ascii="Arial" w:hAnsi="Arial" w:cs="Arial"/>
                <w:b/>
                <w:bCs/>
                <w:color w:val="FFFFFF" w:themeColor="background1"/>
                <w:sz w:val="20"/>
                <w:szCs w:val="20"/>
                <w:lang w:val="es-ES"/>
              </w:rPr>
            </w:pPr>
            <w:r w:rsidRPr="00994E4A">
              <w:rPr>
                <w:rFonts w:ascii="Arial" w:hAnsi="Arial" w:cs="Arial"/>
                <w:b/>
                <w:bCs/>
                <w:color w:val="FFFFFF" w:themeColor="background1"/>
                <w:sz w:val="20"/>
                <w:szCs w:val="20"/>
                <w:lang w:val="es-ES"/>
              </w:rPr>
              <w:t>NOMBRE DEL INDICADOR</w:t>
            </w:r>
          </w:p>
        </w:tc>
        <w:tc>
          <w:tcPr>
            <w:tcW w:w="1847" w:type="dxa"/>
            <w:shd w:val="clear" w:color="auto" w:fill="1E8186"/>
            <w:vAlign w:val="center"/>
            <w:hideMark/>
          </w:tcPr>
          <w:p w14:paraId="3067889F" w14:textId="77777777" w:rsidR="00745D02" w:rsidRPr="00994E4A" w:rsidRDefault="00745D02" w:rsidP="00601299">
            <w:pPr>
              <w:jc w:val="center"/>
              <w:rPr>
                <w:rFonts w:ascii="Arial" w:hAnsi="Arial" w:cs="Arial"/>
                <w:b/>
                <w:bCs/>
                <w:color w:val="FFFFFF" w:themeColor="background1"/>
                <w:sz w:val="20"/>
                <w:szCs w:val="20"/>
                <w:lang w:val="es-ES"/>
              </w:rPr>
            </w:pPr>
            <w:r w:rsidRPr="00994E4A">
              <w:rPr>
                <w:rFonts w:ascii="Arial" w:hAnsi="Arial" w:cs="Arial"/>
                <w:b/>
                <w:bCs/>
                <w:color w:val="FFFFFF" w:themeColor="background1"/>
                <w:sz w:val="20"/>
                <w:szCs w:val="20"/>
                <w:lang w:val="es-ES"/>
              </w:rPr>
              <w:t>UNIDAD DE MEDIDA</w:t>
            </w:r>
          </w:p>
        </w:tc>
        <w:tc>
          <w:tcPr>
            <w:tcW w:w="1368" w:type="dxa"/>
            <w:shd w:val="clear" w:color="auto" w:fill="1E8186"/>
            <w:vAlign w:val="center"/>
            <w:hideMark/>
          </w:tcPr>
          <w:p w14:paraId="0EF113BB" w14:textId="77777777" w:rsidR="00745D02" w:rsidRPr="00994E4A" w:rsidRDefault="00745D02" w:rsidP="00601299">
            <w:pPr>
              <w:jc w:val="center"/>
              <w:rPr>
                <w:rFonts w:ascii="Arial" w:hAnsi="Arial" w:cs="Arial"/>
                <w:b/>
                <w:bCs/>
                <w:color w:val="FFFFFF" w:themeColor="background1"/>
                <w:sz w:val="20"/>
                <w:szCs w:val="20"/>
                <w:lang w:val="es-ES"/>
              </w:rPr>
            </w:pPr>
            <w:r w:rsidRPr="00994E4A">
              <w:rPr>
                <w:rFonts w:ascii="Arial" w:hAnsi="Arial" w:cs="Arial"/>
                <w:b/>
                <w:bCs/>
                <w:color w:val="FFFFFF" w:themeColor="background1"/>
                <w:sz w:val="20"/>
                <w:szCs w:val="20"/>
                <w:lang w:val="es-ES"/>
              </w:rPr>
              <w:t>FUENTE</w:t>
            </w:r>
          </w:p>
        </w:tc>
        <w:tc>
          <w:tcPr>
            <w:tcW w:w="1231" w:type="dxa"/>
            <w:shd w:val="clear" w:color="auto" w:fill="1E8186"/>
            <w:vAlign w:val="center"/>
            <w:hideMark/>
          </w:tcPr>
          <w:p w14:paraId="518EA9D9" w14:textId="77777777" w:rsidR="00745D02" w:rsidRPr="00994E4A" w:rsidRDefault="00745D02" w:rsidP="00601299">
            <w:pPr>
              <w:jc w:val="center"/>
              <w:rPr>
                <w:rFonts w:ascii="Arial" w:hAnsi="Arial" w:cs="Arial"/>
                <w:b/>
                <w:bCs/>
                <w:color w:val="FFFFFF" w:themeColor="background1"/>
                <w:sz w:val="20"/>
                <w:szCs w:val="20"/>
                <w:lang w:val="es-ES"/>
              </w:rPr>
            </w:pPr>
            <w:r w:rsidRPr="00994E4A">
              <w:rPr>
                <w:rFonts w:ascii="Arial" w:hAnsi="Arial" w:cs="Arial"/>
                <w:b/>
                <w:bCs/>
                <w:color w:val="FFFFFF" w:themeColor="background1"/>
                <w:sz w:val="20"/>
                <w:szCs w:val="20"/>
                <w:lang w:val="es-ES"/>
              </w:rPr>
              <w:t>LÍNEA BASE 2021-2024</w:t>
            </w:r>
          </w:p>
        </w:tc>
        <w:tc>
          <w:tcPr>
            <w:tcW w:w="1214" w:type="dxa"/>
            <w:shd w:val="clear" w:color="auto" w:fill="1E8186"/>
            <w:vAlign w:val="center"/>
            <w:hideMark/>
          </w:tcPr>
          <w:p w14:paraId="6916DD85" w14:textId="77777777" w:rsidR="00745D02" w:rsidRPr="00994E4A" w:rsidRDefault="00745D02" w:rsidP="00601299">
            <w:pPr>
              <w:jc w:val="center"/>
              <w:rPr>
                <w:rFonts w:ascii="Arial" w:hAnsi="Arial" w:cs="Arial"/>
                <w:b/>
                <w:bCs/>
                <w:color w:val="FFFFFF" w:themeColor="background1"/>
                <w:sz w:val="20"/>
                <w:szCs w:val="20"/>
                <w:lang w:val="es-ES"/>
              </w:rPr>
            </w:pPr>
            <w:r w:rsidRPr="00994E4A">
              <w:rPr>
                <w:rFonts w:ascii="Arial" w:hAnsi="Arial" w:cs="Arial"/>
                <w:b/>
                <w:bCs/>
                <w:color w:val="FFFFFF" w:themeColor="background1"/>
                <w:sz w:val="20"/>
                <w:szCs w:val="20"/>
                <w:lang w:val="es-ES"/>
              </w:rPr>
              <w:t>META 2021- 2024</w:t>
            </w:r>
          </w:p>
        </w:tc>
        <w:tc>
          <w:tcPr>
            <w:tcW w:w="1395" w:type="dxa"/>
            <w:shd w:val="clear" w:color="auto" w:fill="1E8186"/>
            <w:vAlign w:val="center"/>
            <w:hideMark/>
          </w:tcPr>
          <w:p w14:paraId="2D3D228A" w14:textId="77777777" w:rsidR="00745D02" w:rsidRPr="00994E4A" w:rsidRDefault="00745D02" w:rsidP="00601299">
            <w:pPr>
              <w:jc w:val="center"/>
              <w:rPr>
                <w:rFonts w:ascii="Arial" w:hAnsi="Arial" w:cs="Arial"/>
                <w:b/>
                <w:bCs/>
                <w:color w:val="FFFFFF" w:themeColor="background1"/>
                <w:sz w:val="20"/>
                <w:szCs w:val="20"/>
                <w:lang w:val="es-ES"/>
              </w:rPr>
            </w:pPr>
            <w:r w:rsidRPr="00994E4A">
              <w:rPr>
                <w:rFonts w:ascii="Arial" w:hAnsi="Arial" w:cs="Arial"/>
                <w:b/>
                <w:bCs/>
                <w:color w:val="FFFFFF" w:themeColor="background1"/>
                <w:sz w:val="20"/>
                <w:szCs w:val="20"/>
                <w:lang w:val="es-ES"/>
              </w:rPr>
              <w:t>TENDENCIA</w:t>
            </w:r>
          </w:p>
        </w:tc>
      </w:tr>
      <w:tr w:rsidR="00745D02" w14:paraId="4E50DFE1" w14:textId="77777777" w:rsidTr="00745D02">
        <w:trPr>
          <w:trHeight w:val="1193"/>
        </w:trPr>
        <w:tc>
          <w:tcPr>
            <w:tcW w:w="1550" w:type="dxa"/>
            <w:shd w:val="clear" w:color="auto" w:fill="BFBFBF" w:themeFill="background1" w:themeFillShade="BF"/>
            <w:vAlign w:val="center"/>
          </w:tcPr>
          <w:p w14:paraId="751983E9" w14:textId="77777777" w:rsidR="00745D02" w:rsidRPr="00A603DC" w:rsidRDefault="00745D02" w:rsidP="00601299">
            <w:pPr>
              <w:jc w:val="center"/>
              <w:rPr>
                <w:rFonts w:ascii="Arial" w:hAnsi="Arial" w:cs="Arial"/>
                <w:sz w:val="20"/>
                <w:szCs w:val="20"/>
                <w:lang w:val="es-ES"/>
              </w:rPr>
            </w:pPr>
            <w:r w:rsidRPr="00A603DC">
              <w:rPr>
                <w:rFonts w:ascii="Arial" w:hAnsi="Arial" w:cs="Arial"/>
                <w:sz w:val="20"/>
                <w:szCs w:val="20"/>
                <w:lang w:val="es-ES"/>
              </w:rPr>
              <w:t>Robo a casa habitación</w:t>
            </w:r>
          </w:p>
        </w:tc>
        <w:tc>
          <w:tcPr>
            <w:tcW w:w="1847" w:type="dxa"/>
            <w:shd w:val="clear" w:color="auto" w:fill="F2F2F2" w:themeFill="background1" w:themeFillShade="F2"/>
            <w:vAlign w:val="center"/>
          </w:tcPr>
          <w:p w14:paraId="6EE6806C" w14:textId="77777777" w:rsidR="00745D02" w:rsidRPr="00A603DC" w:rsidRDefault="00745D02" w:rsidP="00601299">
            <w:pPr>
              <w:jc w:val="center"/>
              <w:rPr>
                <w:rFonts w:ascii="Arial" w:hAnsi="Arial" w:cs="Arial"/>
                <w:sz w:val="20"/>
                <w:szCs w:val="20"/>
                <w:lang w:val="es-ES"/>
              </w:rPr>
            </w:pPr>
            <w:r w:rsidRPr="00A603DC">
              <w:rPr>
                <w:rFonts w:ascii="Arial" w:hAnsi="Arial" w:cs="Arial"/>
                <w:sz w:val="20"/>
                <w:szCs w:val="20"/>
                <w:lang w:val="es-ES"/>
              </w:rPr>
              <w:t>Carpetas de investigación.</w:t>
            </w:r>
          </w:p>
        </w:tc>
        <w:tc>
          <w:tcPr>
            <w:tcW w:w="1368" w:type="dxa"/>
            <w:shd w:val="clear" w:color="auto" w:fill="BFBFBF" w:themeFill="background1" w:themeFillShade="BF"/>
            <w:vAlign w:val="center"/>
            <w:hideMark/>
          </w:tcPr>
          <w:p w14:paraId="1BD995F7" w14:textId="77777777" w:rsidR="00745D02" w:rsidRPr="00A603DC" w:rsidRDefault="00745D02" w:rsidP="00601299">
            <w:pPr>
              <w:jc w:val="center"/>
              <w:rPr>
                <w:rFonts w:ascii="Arial" w:hAnsi="Arial" w:cs="Arial"/>
                <w:sz w:val="20"/>
                <w:szCs w:val="20"/>
                <w:lang w:val="es-ES"/>
              </w:rPr>
            </w:pPr>
            <w:r w:rsidRPr="00A603DC">
              <w:rPr>
                <w:rFonts w:ascii="Arial" w:hAnsi="Arial" w:cs="Arial"/>
                <w:sz w:val="20"/>
                <w:szCs w:val="20"/>
                <w:lang w:val="es-ES"/>
              </w:rPr>
              <w:t>Fiscalía General, Gobierno de Jalisco 2022</w:t>
            </w:r>
          </w:p>
        </w:tc>
        <w:tc>
          <w:tcPr>
            <w:tcW w:w="1231" w:type="dxa"/>
            <w:shd w:val="clear" w:color="auto" w:fill="F2F2F2" w:themeFill="background1" w:themeFillShade="F2"/>
            <w:vAlign w:val="center"/>
          </w:tcPr>
          <w:p w14:paraId="055AD969" w14:textId="77777777" w:rsidR="00745D02" w:rsidRPr="00A603DC" w:rsidRDefault="00745D02" w:rsidP="00601299">
            <w:pPr>
              <w:jc w:val="center"/>
              <w:rPr>
                <w:rFonts w:ascii="Arial" w:hAnsi="Arial" w:cs="Arial"/>
                <w:sz w:val="20"/>
                <w:szCs w:val="20"/>
                <w:lang w:val="es-ES"/>
              </w:rPr>
            </w:pPr>
            <w:r w:rsidRPr="00A603DC">
              <w:rPr>
                <w:rFonts w:ascii="Arial" w:hAnsi="Arial" w:cs="Arial"/>
                <w:sz w:val="20"/>
                <w:szCs w:val="20"/>
                <w:lang w:val="es-ES"/>
              </w:rPr>
              <w:t>10</w:t>
            </w:r>
          </w:p>
        </w:tc>
        <w:tc>
          <w:tcPr>
            <w:tcW w:w="1214" w:type="dxa"/>
            <w:shd w:val="clear" w:color="auto" w:fill="BFBFBF" w:themeFill="background1" w:themeFillShade="BF"/>
            <w:vAlign w:val="center"/>
          </w:tcPr>
          <w:p w14:paraId="095338DC" w14:textId="77777777" w:rsidR="00745D02" w:rsidRPr="00A603DC" w:rsidRDefault="00745D02" w:rsidP="00601299">
            <w:pPr>
              <w:jc w:val="center"/>
              <w:rPr>
                <w:rFonts w:ascii="Arial" w:hAnsi="Arial" w:cs="Arial"/>
                <w:sz w:val="20"/>
                <w:szCs w:val="20"/>
                <w:lang w:val="es-ES"/>
              </w:rPr>
            </w:pPr>
            <w:r w:rsidRPr="00A603DC">
              <w:rPr>
                <w:rFonts w:ascii="Arial" w:hAnsi="Arial" w:cs="Arial"/>
                <w:sz w:val="20"/>
                <w:szCs w:val="20"/>
                <w:lang w:val="es-ES"/>
              </w:rPr>
              <w:t>3</w:t>
            </w:r>
          </w:p>
        </w:tc>
        <w:tc>
          <w:tcPr>
            <w:tcW w:w="1395" w:type="dxa"/>
            <w:shd w:val="clear" w:color="auto" w:fill="F2F2F2" w:themeFill="background1" w:themeFillShade="F2"/>
            <w:vAlign w:val="center"/>
          </w:tcPr>
          <w:p w14:paraId="58B90DBD" w14:textId="77777777" w:rsidR="00745D02" w:rsidRPr="00A603DC" w:rsidRDefault="00745D02" w:rsidP="00601299">
            <w:pPr>
              <w:jc w:val="center"/>
              <w:rPr>
                <w:rFonts w:ascii="Arial" w:hAnsi="Arial" w:cs="Arial"/>
                <w:sz w:val="20"/>
                <w:szCs w:val="20"/>
                <w:lang w:val="es-ES"/>
              </w:rPr>
            </w:pPr>
            <w:r w:rsidRPr="00A603DC">
              <w:rPr>
                <w:rFonts w:ascii="Arial" w:hAnsi="Arial" w:cs="Arial"/>
                <w:sz w:val="20"/>
                <w:szCs w:val="20"/>
                <w:lang w:val="es-ES"/>
              </w:rPr>
              <w:t>Descendente</w:t>
            </w:r>
          </w:p>
        </w:tc>
      </w:tr>
      <w:tr w:rsidR="00745D02" w14:paraId="3763BF6E" w14:textId="77777777" w:rsidTr="00745D02">
        <w:trPr>
          <w:trHeight w:val="1691"/>
        </w:trPr>
        <w:tc>
          <w:tcPr>
            <w:tcW w:w="1550" w:type="dxa"/>
            <w:shd w:val="clear" w:color="auto" w:fill="BFBFBF" w:themeFill="background1" w:themeFillShade="BF"/>
            <w:vAlign w:val="center"/>
          </w:tcPr>
          <w:p w14:paraId="0FA99AE0" w14:textId="77777777" w:rsidR="00745D02" w:rsidRPr="00A603DC" w:rsidRDefault="00745D02" w:rsidP="00601299">
            <w:pPr>
              <w:jc w:val="center"/>
              <w:rPr>
                <w:rFonts w:ascii="Arial" w:hAnsi="Arial" w:cs="Arial"/>
                <w:sz w:val="20"/>
                <w:szCs w:val="20"/>
                <w:lang w:val="es-ES"/>
              </w:rPr>
            </w:pPr>
            <w:r w:rsidRPr="00A603DC">
              <w:rPr>
                <w:rFonts w:ascii="Arial" w:hAnsi="Arial" w:cs="Arial"/>
                <w:sz w:val="20"/>
                <w:szCs w:val="20"/>
                <w:lang w:val="es-ES"/>
              </w:rPr>
              <w:t>Llamadas de extorsión</w:t>
            </w:r>
          </w:p>
        </w:tc>
        <w:tc>
          <w:tcPr>
            <w:tcW w:w="1847" w:type="dxa"/>
            <w:shd w:val="clear" w:color="auto" w:fill="F2F2F2" w:themeFill="background1" w:themeFillShade="F2"/>
            <w:vAlign w:val="center"/>
            <w:hideMark/>
          </w:tcPr>
          <w:p w14:paraId="78A73892" w14:textId="77777777" w:rsidR="00745D02" w:rsidRPr="00A603DC" w:rsidRDefault="00745D02" w:rsidP="00601299">
            <w:pPr>
              <w:jc w:val="center"/>
              <w:rPr>
                <w:rFonts w:ascii="Arial" w:hAnsi="Arial" w:cs="Arial"/>
                <w:sz w:val="20"/>
                <w:szCs w:val="20"/>
                <w:lang w:val="es-ES"/>
              </w:rPr>
            </w:pPr>
            <w:r w:rsidRPr="00A603DC">
              <w:rPr>
                <w:rFonts w:ascii="Arial" w:hAnsi="Arial" w:cs="Arial"/>
                <w:sz w:val="20"/>
                <w:szCs w:val="20"/>
                <w:lang w:val="es-ES"/>
              </w:rPr>
              <w:t>A las personas se les recomienda el cómo debe de actuar para que no sean víctimas de los extorsionadores.</w:t>
            </w:r>
          </w:p>
        </w:tc>
        <w:tc>
          <w:tcPr>
            <w:tcW w:w="1368" w:type="dxa"/>
            <w:shd w:val="clear" w:color="auto" w:fill="BFBFBF" w:themeFill="background1" w:themeFillShade="BF"/>
            <w:vAlign w:val="center"/>
          </w:tcPr>
          <w:p w14:paraId="423237E5" w14:textId="77777777" w:rsidR="00745D02" w:rsidRPr="00A603DC" w:rsidRDefault="00745D02" w:rsidP="00601299">
            <w:pPr>
              <w:jc w:val="center"/>
              <w:rPr>
                <w:rFonts w:ascii="Arial" w:hAnsi="Arial" w:cs="Arial"/>
                <w:sz w:val="20"/>
                <w:szCs w:val="20"/>
                <w:lang w:val="es-ES"/>
              </w:rPr>
            </w:pPr>
          </w:p>
          <w:p w14:paraId="1B97139A" w14:textId="77777777" w:rsidR="00745D02" w:rsidRPr="00A603DC" w:rsidRDefault="00745D02" w:rsidP="00601299">
            <w:pPr>
              <w:jc w:val="center"/>
              <w:rPr>
                <w:rFonts w:ascii="Arial" w:hAnsi="Arial" w:cs="Arial"/>
                <w:sz w:val="20"/>
                <w:szCs w:val="20"/>
                <w:lang w:val="es-ES"/>
              </w:rPr>
            </w:pPr>
            <w:r w:rsidRPr="00A603DC">
              <w:rPr>
                <w:rFonts w:ascii="Arial" w:hAnsi="Arial" w:cs="Arial"/>
                <w:sz w:val="20"/>
                <w:szCs w:val="20"/>
                <w:lang w:val="es-ES"/>
              </w:rPr>
              <w:t>Comisaria de Gómez Farías</w:t>
            </w:r>
          </w:p>
        </w:tc>
        <w:tc>
          <w:tcPr>
            <w:tcW w:w="1231" w:type="dxa"/>
            <w:shd w:val="clear" w:color="auto" w:fill="F2F2F2" w:themeFill="background1" w:themeFillShade="F2"/>
            <w:vAlign w:val="center"/>
          </w:tcPr>
          <w:p w14:paraId="0DD7B265" w14:textId="77777777" w:rsidR="00745D02" w:rsidRPr="00A603DC" w:rsidRDefault="00745D02" w:rsidP="00601299">
            <w:pPr>
              <w:rPr>
                <w:rFonts w:ascii="Arial" w:hAnsi="Arial" w:cs="Arial"/>
                <w:sz w:val="20"/>
                <w:szCs w:val="20"/>
                <w:lang w:val="es-ES"/>
              </w:rPr>
            </w:pPr>
          </w:p>
          <w:p w14:paraId="26E3900E" w14:textId="77777777" w:rsidR="00745D02" w:rsidRPr="00A603DC" w:rsidRDefault="00745D02" w:rsidP="00601299">
            <w:pPr>
              <w:jc w:val="center"/>
              <w:rPr>
                <w:rFonts w:ascii="Arial" w:hAnsi="Arial" w:cs="Arial"/>
                <w:sz w:val="20"/>
                <w:szCs w:val="20"/>
                <w:lang w:val="es-ES"/>
              </w:rPr>
            </w:pPr>
            <w:r w:rsidRPr="00A603DC">
              <w:rPr>
                <w:rFonts w:ascii="Arial" w:hAnsi="Arial" w:cs="Arial"/>
                <w:sz w:val="20"/>
                <w:szCs w:val="20"/>
                <w:lang w:val="es-ES"/>
              </w:rPr>
              <w:t>20</w:t>
            </w:r>
          </w:p>
        </w:tc>
        <w:tc>
          <w:tcPr>
            <w:tcW w:w="1214" w:type="dxa"/>
            <w:shd w:val="clear" w:color="auto" w:fill="BFBFBF" w:themeFill="background1" w:themeFillShade="BF"/>
            <w:vAlign w:val="center"/>
          </w:tcPr>
          <w:p w14:paraId="031A27E1" w14:textId="77777777" w:rsidR="00745D02" w:rsidRPr="00A603DC" w:rsidRDefault="00745D02" w:rsidP="00601299">
            <w:pPr>
              <w:jc w:val="center"/>
              <w:rPr>
                <w:rFonts w:ascii="Arial" w:hAnsi="Arial" w:cs="Arial"/>
                <w:sz w:val="20"/>
                <w:szCs w:val="20"/>
                <w:lang w:val="es-ES"/>
              </w:rPr>
            </w:pPr>
            <w:r w:rsidRPr="00A603DC">
              <w:rPr>
                <w:rFonts w:ascii="Arial" w:hAnsi="Arial" w:cs="Arial"/>
                <w:sz w:val="20"/>
                <w:szCs w:val="20"/>
                <w:lang w:val="es-ES"/>
              </w:rPr>
              <w:t>10</w:t>
            </w:r>
          </w:p>
        </w:tc>
        <w:tc>
          <w:tcPr>
            <w:tcW w:w="1395" w:type="dxa"/>
            <w:shd w:val="clear" w:color="auto" w:fill="F2F2F2" w:themeFill="background1" w:themeFillShade="F2"/>
            <w:vAlign w:val="center"/>
          </w:tcPr>
          <w:p w14:paraId="1D789E75" w14:textId="77777777" w:rsidR="00745D02" w:rsidRPr="00A603DC" w:rsidRDefault="00745D02" w:rsidP="00601299">
            <w:pPr>
              <w:jc w:val="center"/>
              <w:rPr>
                <w:rFonts w:ascii="Arial" w:hAnsi="Arial" w:cs="Arial"/>
                <w:sz w:val="20"/>
                <w:szCs w:val="20"/>
                <w:lang w:val="es-ES"/>
              </w:rPr>
            </w:pPr>
            <w:r w:rsidRPr="00A603DC">
              <w:rPr>
                <w:rFonts w:ascii="Arial" w:hAnsi="Arial" w:cs="Arial"/>
                <w:sz w:val="20"/>
                <w:szCs w:val="20"/>
                <w:lang w:val="es-ES"/>
              </w:rPr>
              <w:t>Descendente</w:t>
            </w:r>
          </w:p>
        </w:tc>
      </w:tr>
      <w:tr w:rsidR="00745D02" w14:paraId="298BD232" w14:textId="77777777" w:rsidTr="00745D02">
        <w:trPr>
          <w:trHeight w:val="1264"/>
        </w:trPr>
        <w:tc>
          <w:tcPr>
            <w:tcW w:w="1550" w:type="dxa"/>
            <w:shd w:val="clear" w:color="auto" w:fill="BFBFBF" w:themeFill="background1" w:themeFillShade="BF"/>
            <w:vAlign w:val="center"/>
          </w:tcPr>
          <w:p w14:paraId="08B3B009" w14:textId="77777777" w:rsidR="00745D02" w:rsidRPr="00A603DC" w:rsidRDefault="00745D02" w:rsidP="00601299">
            <w:pPr>
              <w:jc w:val="center"/>
              <w:rPr>
                <w:rFonts w:ascii="Arial" w:hAnsi="Arial" w:cs="Arial"/>
                <w:sz w:val="20"/>
                <w:szCs w:val="20"/>
                <w:lang w:val="es-ES"/>
              </w:rPr>
            </w:pPr>
            <w:r w:rsidRPr="00A603DC">
              <w:rPr>
                <w:rFonts w:ascii="Arial" w:hAnsi="Arial" w:cs="Arial"/>
                <w:sz w:val="20"/>
                <w:szCs w:val="20"/>
                <w:lang w:val="es-ES"/>
              </w:rPr>
              <w:t>Violencia familiar</w:t>
            </w:r>
          </w:p>
        </w:tc>
        <w:tc>
          <w:tcPr>
            <w:tcW w:w="1847" w:type="dxa"/>
            <w:shd w:val="clear" w:color="auto" w:fill="F2F2F2" w:themeFill="background1" w:themeFillShade="F2"/>
            <w:vAlign w:val="center"/>
          </w:tcPr>
          <w:p w14:paraId="70751146" w14:textId="77777777" w:rsidR="00745D02" w:rsidRPr="00A603DC" w:rsidRDefault="00745D02" w:rsidP="00601299">
            <w:pPr>
              <w:jc w:val="center"/>
              <w:rPr>
                <w:rFonts w:ascii="Arial" w:hAnsi="Arial" w:cs="Arial"/>
                <w:sz w:val="20"/>
                <w:szCs w:val="20"/>
                <w:lang w:val="es-ES"/>
              </w:rPr>
            </w:pPr>
            <w:r w:rsidRPr="00A603DC">
              <w:rPr>
                <w:rFonts w:ascii="Arial" w:hAnsi="Arial" w:cs="Arial"/>
                <w:sz w:val="20"/>
                <w:szCs w:val="20"/>
                <w:lang w:val="es-ES"/>
              </w:rPr>
              <w:t>Carpetas de investigación.</w:t>
            </w:r>
          </w:p>
        </w:tc>
        <w:tc>
          <w:tcPr>
            <w:tcW w:w="1368" w:type="dxa"/>
            <w:shd w:val="clear" w:color="auto" w:fill="BFBFBF" w:themeFill="background1" w:themeFillShade="BF"/>
            <w:vAlign w:val="center"/>
            <w:hideMark/>
          </w:tcPr>
          <w:p w14:paraId="5624999F" w14:textId="77777777" w:rsidR="00745D02" w:rsidRPr="00A603DC" w:rsidRDefault="00745D02" w:rsidP="00601299">
            <w:pPr>
              <w:jc w:val="center"/>
              <w:rPr>
                <w:rFonts w:ascii="Arial" w:hAnsi="Arial" w:cs="Arial"/>
                <w:sz w:val="20"/>
                <w:szCs w:val="20"/>
                <w:lang w:val="es-ES"/>
              </w:rPr>
            </w:pPr>
            <w:r w:rsidRPr="00A603DC">
              <w:rPr>
                <w:rFonts w:ascii="Arial" w:hAnsi="Arial" w:cs="Arial"/>
                <w:sz w:val="20"/>
                <w:szCs w:val="20"/>
                <w:lang w:val="es-ES"/>
              </w:rPr>
              <w:t>Fiscalía General, Gobierno de Jalisco 2022</w:t>
            </w:r>
          </w:p>
        </w:tc>
        <w:tc>
          <w:tcPr>
            <w:tcW w:w="1231" w:type="dxa"/>
            <w:shd w:val="clear" w:color="auto" w:fill="F2F2F2" w:themeFill="background1" w:themeFillShade="F2"/>
            <w:vAlign w:val="center"/>
          </w:tcPr>
          <w:p w14:paraId="552657E1" w14:textId="77777777" w:rsidR="00745D02" w:rsidRPr="00A603DC" w:rsidRDefault="00745D02" w:rsidP="00601299">
            <w:pPr>
              <w:jc w:val="center"/>
              <w:rPr>
                <w:rFonts w:ascii="Arial" w:hAnsi="Arial" w:cs="Arial"/>
                <w:sz w:val="20"/>
                <w:szCs w:val="20"/>
                <w:lang w:val="es-ES"/>
              </w:rPr>
            </w:pPr>
            <w:r w:rsidRPr="00A603DC">
              <w:rPr>
                <w:rFonts w:ascii="Arial" w:hAnsi="Arial" w:cs="Arial"/>
                <w:sz w:val="20"/>
                <w:szCs w:val="20"/>
                <w:lang w:val="es-ES"/>
              </w:rPr>
              <w:t>30</w:t>
            </w:r>
          </w:p>
        </w:tc>
        <w:tc>
          <w:tcPr>
            <w:tcW w:w="1214" w:type="dxa"/>
            <w:shd w:val="clear" w:color="auto" w:fill="BFBFBF" w:themeFill="background1" w:themeFillShade="BF"/>
            <w:vAlign w:val="center"/>
          </w:tcPr>
          <w:p w14:paraId="3B063AE4" w14:textId="77777777" w:rsidR="00745D02" w:rsidRPr="00A603DC" w:rsidRDefault="00745D02" w:rsidP="00601299">
            <w:pPr>
              <w:jc w:val="center"/>
              <w:rPr>
                <w:rFonts w:ascii="Arial" w:hAnsi="Arial" w:cs="Arial"/>
                <w:sz w:val="20"/>
                <w:szCs w:val="20"/>
                <w:lang w:val="es-ES"/>
              </w:rPr>
            </w:pPr>
            <w:r w:rsidRPr="00A603DC">
              <w:rPr>
                <w:rFonts w:ascii="Arial" w:hAnsi="Arial" w:cs="Arial"/>
                <w:sz w:val="20"/>
                <w:szCs w:val="20"/>
                <w:lang w:val="es-ES"/>
              </w:rPr>
              <w:t>15</w:t>
            </w:r>
          </w:p>
        </w:tc>
        <w:tc>
          <w:tcPr>
            <w:tcW w:w="1395" w:type="dxa"/>
            <w:shd w:val="clear" w:color="auto" w:fill="F2F2F2" w:themeFill="background1" w:themeFillShade="F2"/>
            <w:vAlign w:val="center"/>
          </w:tcPr>
          <w:p w14:paraId="790E02BC" w14:textId="77777777" w:rsidR="00745D02" w:rsidRPr="00A603DC" w:rsidRDefault="00745D02" w:rsidP="00601299">
            <w:pPr>
              <w:jc w:val="center"/>
              <w:rPr>
                <w:rFonts w:ascii="Arial" w:hAnsi="Arial" w:cs="Arial"/>
                <w:sz w:val="20"/>
                <w:szCs w:val="20"/>
                <w:lang w:val="es-ES"/>
              </w:rPr>
            </w:pPr>
            <w:r w:rsidRPr="00A603DC">
              <w:rPr>
                <w:rFonts w:ascii="Arial" w:hAnsi="Arial" w:cs="Arial"/>
                <w:sz w:val="20"/>
                <w:szCs w:val="20"/>
                <w:lang w:val="es-ES"/>
              </w:rPr>
              <w:t>Descendente</w:t>
            </w:r>
          </w:p>
        </w:tc>
      </w:tr>
      <w:tr w:rsidR="00745D02" w14:paraId="37C7F0BA" w14:textId="77777777" w:rsidTr="00745D02">
        <w:trPr>
          <w:trHeight w:val="985"/>
        </w:trPr>
        <w:tc>
          <w:tcPr>
            <w:tcW w:w="1550" w:type="dxa"/>
            <w:shd w:val="clear" w:color="auto" w:fill="BFBFBF" w:themeFill="background1" w:themeFillShade="BF"/>
            <w:vAlign w:val="center"/>
            <w:hideMark/>
          </w:tcPr>
          <w:p w14:paraId="740B9137" w14:textId="77777777" w:rsidR="00745D02" w:rsidRPr="00A603DC" w:rsidRDefault="00745D02" w:rsidP="00601299">
            <w:pPr>
              <w:jc w:val="center"/>
              <w:rPr>
                <w:rFonts w:ascii="Arial" w:hAnsi="Arial" w:cs="Arial"/>
                <w:sz w:val="20"/>
                <w:szCs w:val="20"/>
                <w:lang w:val="es-ES"/>
              </w:rPr>
            </w:pPr>
            <w:r w:rsidRPr="00A603DC">
              <w:rPr>
                <w:rFonts w:ascii="Arial" w:hAnsi="Arial" w:cs="Arial"/>
                <w:sz w:val="20"/>
                <w:szCs w:val="20"/>
                <w:lang w:val="es-ES"/>
              </w:rPr>
              <w:t>Faltas administrativas</w:t>
            </w:r>
          </w:p>
        </w:tc>
        <w:tc>
          <w:tcPr>
            <w:tcW w:w="1847" w:type="dxa"/>
            <w:shd w:val="clear" w:color="auto" w:fill="F2F2F2" w:themeFill="background1" w:themeFillShade="F2"/>
            <w:vAlign w:val="center"/>
            <w:hideMark/>
          </w:tcPr>
          <w:p w14:paraId="7ACEEF00" w14:textId="77777777" w:rsidR="00745D02" w:rsidRPr="00A603DC" w:rsidRDefault="00745D02" w:rsidP="00601299">
            <w:pPr>
              <w:jc w:val="center"/>
              <w:rPr>
                <w:rFonts w:ascii="Arial" w:hAnsi="Arial" w:cs="Arial"/>
                <w:sz w:val="20"/>
                <w:szCs w:val="20"/>
                <w:lang w:val="es-ES"/>
              </w:rPr>
            </w:pPr>
            <w:r w:rsidRPr="00A603DC">
              <w:rPr>
                <w:rFonts w:ascii="Arial" w:hAnsi="Arial" w:cs="Arial"/>
                <w:sz w:val="20"/>
                <w:szCs w:val="20"/>
                <w:lang w:val="es-ES"/>
              </w:rPr>
              <w:t>Para aquellos que comenten una falta son sancionados.</w:t>
            </w:r>
          </w:p>
        </w:tc>
        <w:tc>
          <w:tcPr>
            <w:tcW w:w="1368" w:type="dxa"/>
            <w:shd w:val="clear" w:color="auto" w:fill="BFBFBF" w:themeFill="background1" w:themeFillShade="BF"/>
            <w:vAlign w:val="center"/>
            <w:hideMark/>
          </w:tcPr>
          <w:p w14:paraId="6FB3D54C" w14:textId="77777777" w:rsidR="00745D02" w:rsidRPr="00A603DC" w:rsidRDefault="00745D02" w:rsidP="00601299">
            <w:pPr>
              <w:jc w:val="center"/>
              <w:rPr>
                <w:rFonts w:ascii="Arial" w:hAnsi="Arial" w:cs="Arial"/>
                <w:sz w:val="20"/>
                <w:szCs w:val="20"/>
                <w:lang w:val="es-ES"/>
              </w:rPr>
            </w:pPr>
            <w:r w:rsidRPr="00A603DC">
              <w:rPr>
                <w:rFonts w:ascii="Arial" w:hAnsi="Arial" w:cs="Arial"/>
                <w:sz w:val="20"/>
                <w:szCs w:val="20"/>
                <w:lang w:val="es-ES"/>
              </w:rPr>
              <w:t>Juez Municipal</w:t>
            </w:r>
          </w:p>
        </w:tc>
        <w:tc>
          <w:tcPr>
            <w:tcW w:w="1231" w:type="dxa"/>
            <w:shd w:val="clear" w:color="auto" w:fill="F2F2F2" w:themeFill="background1" w:themeFillShade="F2"/>
            <w:vAlign w:val="center"/>
          </w:tcPr>
          <w:p w14:paraId="610AC004" w14:textId="77777777" w:rsidR="00745D02" w:rsidRPr="00A603DC" w:rsidRDefault="00745D02" w:rsidP="00601299">
            <w:pPr>
              <w:jc w:val="center"/>
              <w:rPr>
                <w:rFonts w:ascii="Arial" w:hAnsi="Arial" w:cs="Arial"/>
                <w:sz w:val="20"/>
                <w:szCs w:val="20"/>
                <w:lang w:val="es-ES"/>
              </w:rPr>
            </w:pPr>
            <w:r w:rsidRPr="00A603DC">
              <w:rPr>
                <w:rFonts w:ascii="Arial" w:hAnsi="Arial" w:cs="Arial"/>
                <w:sz w:val="20"/>
                <w:szCs w:val="20"/>
                <w:lang w:val="es-ES"/>
              </w:rPr>
              <w:t>20</w:t>
            </w:r>
          </w:p>
        </w:tc>
        <w:tc>
          <w:tcPr>
            <w:tcW w:w="1214" w:type="dxa"/>
            <w:shd w:val="clear" w:color="auto" w:fill="BFBFBF" w:themeFill="background1" w:themeFillShade="BF"/>
            <w:vAlign w:val="center"/>
          </w:tcPr>
          <w:p w14:paraId="74753995" w14:textId="77777777" w:rsidR="00745D02" w:rsidRPr="00A603DC" w:rsidRDefault="00745D02" w:rsidP="00601299">
            <w:pPr>
              <w:jc w:val="center"/>
              <w:rPr>
                <w:rFonts w:ascii="Arial" w:hAnsi="Arial" w:cs="Arial"/>
                <w:sz w:val="20"/>
                <w:szCs w:val="20"/>
                <w:lang w:val="es-ES"/>
              </w:rPr>
            </w:pPr>
            <w:r w:rsidRPr="00A603DC">
              <w:rPr>
                <w:rFonts w:ascii="Arial" w:hAnsi="Arial" w:cs="Arial"/>
                <w:sz w:val="20"/>
                <w:szCs w:val="20"/>
                <w:lang w:val="es-ES"/>
              </w:rPr>
              <w:t>15</w:t>
            </w:r>
          </w:p>
        </w:tc>
        <w:tc>
          <w:tcPr>
            <w:tcW w:w="1395" w:type="dxa"/>
            <w:shd w:val="clear" w:color="auto" w:fill="F2F2F2" w:themeFill="background1" w:themeFillShade="F2"/>
            <w:vAlign w:val="center"/>
          </w:tcPr>
          <w:p w14:paraId="502F0B0E" w14:textId="77777777" w:rsidR="00745D02" w:rsidRPr="00A603DC" w:rsidRDefault="00745D02" w:rsidP="00601299">
            <w:pPr>
              <w:jc w:val="center"/>
              <w:rPr>
                <w:rFonts w:ascii="Arial" w:hAnsi="Arial" w:cs="Arial"/>
                <w:sz w:val="20"/>
                <w:szCs w:val="20"/>
                <w:lang w:val="es-ES"/>
              </w:rPr>
            </w:pPr>
            <w:r w:rsidRPr="00A603DC">
              <w:rPr>
                <w:rFonts w:ascii="Arial" w:hAnsi="Arial" w:cs="Arial"/>
                <w:sz w:val="20"/>
                <w:szCs w:val="20"/>
                <w:lang w:val="es-ES"/>
              </w:rPr>
              <w:t>Descendente</w:t>
            </w:r>
          </w:p>
        </w:tc>
      </w:tr>
    </w:tbl>
    <w:p w14:paraId="0CDAF789" w14:textId="77777777" w:rsidR="005F7EE4" w:rsidRPr="004E2068" w:rsidRDefault="005F7EE4" w:rsidP="00FE7B88">
      <w:pPr>
        <w:jc w:val="both"/>
        <w:rPr>
          <w:rFonts w:ascii="Microsoft JhengHei" w:eastAsia="Microsoft JhengHei" w:hAnsi="Microsoft JhengHei"/>
        </w:rPr>
      </w:pPr>
    </w:p>
    <w:p w14:paraId="4756EF47" w14:textId="77777777" w:rsidR="005F7EE4" w:rsidRPr="004E2068" w:rsidRDefault="005F7EE4" w:rsidP="00FE7B88">
      <w:pPr>
        <w:jc w:val="both"/>
        <w:rPr>
          <w:rFonts w:ascii="Microsoft JhengHei" w:eastAsia="Microsoft JhengHei" w:hAnsi="Microsoft JhengHei"/>
        </w:rPr>
      </w:pPr>
    </w:p>
    <w:p w14:paraId="6D264C95" w14:textId="77777777" w:rsidR="00457A88" w:rsidRPr="004E2068" w:rsidRDefault="00457A88" w:rsidP="00B91AF9">
      <w:pPr>
        <w:pStyle w:val="Prrafodelista"/>
        <w:jc w:val="both"/>
        <w:rPr>
          <w:rFonts w:ascii="Microsoft JhengHei" w:eastAsia="Microsoft JhengHei" w:hAnsi="Microsoft JhengHei" w:cs="Arial"/>
          <w:color w:val="000000" w:themeColor="text1"/>
          <w:sz w:val="24"/>
          <w:szCs w:val="24"/>
          <w:lang w:val="es-MX"/>
        </w:rPr>
      </w:pPr>
    </w:p>
    <w:sectPr w:rsidR="00457A88" w:rsidRPr="004E2068" w:rsidSect="009A43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6594D"/>
    <w:multiLevelType w:val="hybridMultilevel"/>
    <w:tmpl w:val="F1700CB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53B1AE6"/>
    <w:multiLevelType w:val="hybridMultilevel"/>
    <w:tmpl w:val="492A5B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ED5A25"/>
    <w:multiLevelType w:val="hybridMultilevel"/>
    <w:tmpl w:val="00DEA35C"/>
    <w:lvl w:ilvl="0" w:tplc="9716AC06">
      <w:start w:val="1"/>
      <w:numFmt w:val="lowerLetter"/>
      <w:lvlText w:val="%1."/>
      <w:lvlJc w:val="left"/>
      <w:pPr>
        <w:ind w:left="720" w:hanging="360"/>
      </w:pPr>
      <w:rPr>
        <w:rFonts w:hint="eastAsi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F64F60"/>
    <w:multiLevelType w:val="hybridMultilevel"/>
    <w:tmpl w:val="C48811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F84746"/>
    <w:multiLevelType w:val="hybridMultilevel"/>
    <w:tmpl w:val="12FE0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86E57A6"/>
    <w:multiLevelType w:val="hybridMultilevel"/>
    <w:tmpl w:val="C38094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1450BCA"/>
    <w:multiLevelType w:val="hybridMultilevel"/>
    <w:tmpl w:val="D95C2D7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559341E3"/>
    <w:multiLevelType w:val="hybridMultilevel"/>
    <w:tmpl w:val="D9541D92"/>
    <w:lvl w:ilvl="0" w:tplc="3B4071F8">
      <w:start w:val="1"/>
      <w:numFmt w:val="bullet"/>
      <w:lvlText w:val=""/>
      <w:lvlJc w:val="left"/>
      <w:pPr>
        <w:ind w:left="720" w:hanging="360"/>
      </w:pPr>
      <w:rPr>
        <w:rFonts w:ascii="Wingdings" w:hAnsi="Wingdings" w:hint="default"/>
        <w:color w:val="6699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8510DD4"/>
    <w:multiLevelType w:val="hybridMultilevel"/>
    <w:tmpl w:val="572CC35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8"/>
  </w:num>
  <w:num w:numId="6">
    <w:abstractNumId w:val="1"/>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B79"/>
    <w:rsid w:val="00060B1F"/>
    <w:rsid w:val="000D1E41"/>
    <w:rsid w:val="00142CC9"/>
    <w:rsid w:val="00161773"/>
    <w:rsid w:val="00170233"/>
    <w:rsid w:val="00172706"/>
    <w:rsid w:val="001D6387"/>
    <w:rsid w:val="0020751D"/>
    <w:rsid w:val="00220340"/>
    <w:rsid w:val="002F43E2"/>
    <w:rsid w:val="002F5017"/>
    <w:rsid w:val="00346101"/>
    <w:rsid w:val="00381E02"/>
    <w:rsid w:val="003C1FD4"/>
    <w:rsid w:val="003E7C12"/>
    <w:rsid w:val="00457A88"/>
    <w:rsid w:val="004A3C1E"/>
    <w:rsid w:val="004E02CB"/>
    <w:rsid w:val="004E2068"/>
    <w:rsid w:val="0055242C"/>
    <w:rsid w:val="00576B79"/>
    <w:rsid w:val="00597F79"/>
    <w:rsid w:val="005A247F"/>
    <w:rsid w:val="005B65CB"/>
    <w:rsid w:val="005F7EE4"/>
    <w:rsid w:val="00651015"/>
    <w:rsid w:val="0066173A"/>
    <w:rsid w:val="0069705F"/>
    <w:rsid w:val="00745D02"/>
    <w:rsid w:val="007775A3"/>
    <w:rsid w:val="00850287"/>
    <w:rsid w:val="00862674"/>
    <w:rsid w:val="009A43BB"/>
    <w:rsid w:val="00A02FA2"/>
    <w:rsid w:val="00A2202C"/>
    <w:rsid w:val="00A74A1C"/>
    <w:rsid w:val="00AA07C6"/>
    <w:rsid w:val="00B91AF9"/>
    <w:rsid w:val="00BB3632"/>
    <w:rsid w:val="00BB7292"/>
    <w:rsid w:val="00D36689"/>
    <w:rsid w:val="00D83EF7"/>
    <w:rsid w:val="00DE1784"/>
    <w:rsid w:val="00EC7EF1"/>
    <w:rsid w:val="00ED2204"/>
    <w:rsid w:val="00F14BB4"/>
    <w:rsid w:val="00F40EF7"/>
    <w:rsid w:val="00FE7B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BF435"/>
  <w15:docId w15:val="{3E8A7A89-7708-44C3-B32B-443E313C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B79"/>
    <w:pPr>
      <w:spacing w:after="160" w:line="259" w:lineRule="auto"/>
    </w:pPr>
    <w:rPr>
      <w:lang w:val="es-MX"/>
    </w:rPr>
  </w:style>
  <w:style w:type="paragraph" w:styleId="Ttulo3">
    <w:name w:val="heading 3"/>
    <w:basedOn w:val="Normal"/>
    <w:link w:val="Ttulo3Car"/>
    <w:uiPriority w:val="9"/>
    <w:qFormat/>
    <w:rsid w:val="004A3C1E"/>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1AF9"/>
    <w:pPr>
      <w:spacing w:after="200" w:line="276" w:lineRule="auto"/>
      <w:ind w:left="720"/>
      <w:contextualSpacing/>
    </w:pPr>
    <w:rPr>
      <w:lang w:val="es-ES"/>
    </w:rPr>
  </w:style>
  <w:style w:type="character" w:customStyle="1" w:styleId="Ttulo3Car">
    <w:name w:val="Título 3 Car"/>
    <w:basedOn w:val="Fuentedeprrafopredeter"/>
    <w:link w:val="Ttulo3"/>
    <w:uiPriority w:val="9"/>
    <w:rsid w:val="004A3C1E"/>
    <w:rPr>
      <w:rFonts w:ascii="Times New Roman" w:eastAsia="Times New Roman" w:hAnsi="Times New Roman" w:cs="Times New Roman"/>
      <w:b/>
      <w:bCs/>
      <w:sz w:val="27"/>
      <w:szCs w:val="27"/>
      <w:lang w:eastAsia="es-ES"/>
    </w:rPr>
  </w:style>
  <w:style w:type="paragraph" w:styleId="Textodeglobo">
    <w:name w:val="Balloon Text"/>
    <w:basedOn w:val="Normal"/>
    <w:link w:val="TextodegloboCar"/>
    <w:uiPriority w:val="99"/>
    <w:semiHidden/>
    <w:unhideWhenUsed/>
    <w:rsid w:val="00F14B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4BB4"/>
    <w:rPr>
      <w:rFonts w:ascii="Tahoma" w:hAnsi="Tahoma" w:cs="Tahoma"/>
      <w:sz w:val="16"/>
      <w:szCs w:val="16"/>
      <w:lang w:val="es-MX"/>
    </w:rPr>
  </w:style>
  <w:style w:type="table" w:styleId="Tablaconcuadrcula">
    <w:name w:val="Table Grid"/>
    <w:basedOn w:val="Tablanormal"/>
    <w:uiPriority w:val="59"/>
    <w:rsid w:val="005F7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99"/>
    <w:locked/>
    <w:rsid w:val="00745D02"/>
  </w:style>
  <w:style w:type="paragraph" w:styleId="Sinespaciado">
    <w:name w:val="No Spacing"/>
    <w:link w:val="SinespaciadoCar"/>
    <w:uiPriority w:val="99"/>
    <w:qFormat/>
    <w:rsid w:val="00745D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79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bg1"/>
              </a:solidFill>
              <a:latin typeface="+mn-lt"/>
              <a:ea typeface="+mn-ea"/>
              <a:cs typeface="+mn-cs"/>
            </a:defRPr>
          </a:pPr>
          <a:endParaRPr lang="es-MX"/>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incidencias </c:v>
                </c:pt>
              </c:strCache>
            </c:strRef>
          </c:tx>
          <c:dPt>
            <c:idx val="0"/>
            <c:bubble3D val="0"/>
            <c:spPr>
              <a:solidFill>
                <a:schemeClr val="accent5">
                  <a:shade val="58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10D-4A5D-819A-66283C5D5D2D}"/>
              </c:ext>
            </c:extLst>
          </c:dPt>
          <c:dPt>
            <c:idx val="1"/>
            <c:bubble3D val="0"/>
            <c:spPr>
              <a:solidFill>
                <a:schemeClr val="accent5">
                  <a:shade val="86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810D-4A5D-819A-66283C5D5D2D}"/>
              </c:ext>
            </c:extLst>
          </c:dPt>
          <c:dPt>
            <c:idx val="2"/>
            <c:bubble3D val="0"/>
            <c:spPr>
              <a:solidFill>
                <a:schemeClr val="accent5">
                  <a:tint val="86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10D-4A5D-819A-66283C5D5D2D}"/>
              </c:ext>
            </c:extLst>
          </c:dPt>
          <c:dPt>
            <c:idx val="3"/>
            <c:bubble3D val="0"/>
            <c:spPr>
              <a:solidFill>
                <a:schemeClr val="accent5">
                  <a:tint val="58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810D-4A5D-819A-66283C5D5D2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hade val="58000"/>
                        </a:schemeClr>
                      </a:solidFill>
                      <a:latin typeface="+mn-lt"/>
                      <a:ea typeface="+mn-ea"/>
                      <a:cs typeface="+mn-cs"/>
                    </a:defRPr>
                  </a:pPr>
                  <a:endParaRPr lang="es-MX"/>
                </a:p>
              </c:txPr>
              <c:dLblPos val="outEnd"/>
              <c:showLegendKey val="0"/>
              <c:showVal val="0"/>
              <c:showCatName val="1"/>
              <c:showSerName val="0"/>
              <c:showPercent val="0"/>
              <c:showBubbleSize val="0"/>
              <c:extLst>
                <c:ext xmlns:c16="http://schemas.microsoft.com/office/drawing/2014/chart" uri="{C3380CC4-5D6E-409C-BE32-E72D297353CC}">
                  <c16:uniqueId val="{00000001-810D-4A5D-819A-66283C5D5D2D}"/>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hade val="86000"/>
                        </a:schemeClr>
                      </a:solidFill>
                      <a:latin typeface="+mn-lt"/>
                      <a:ea typeface="+mn-ea"/>
                      <a:cs typeface="+mn-cs"/>
                    </a:defRPr>
                  </a:pPr>
                  <a:endParaRPr lang="es-MX"/>
                </a:p>
              </c:txPr>
              <c:dLblPos val="outEnd"/>
              <c:showLegendKey val="0"/>
              <c:showVal val="0"/>
              <c:showCatName val="1"/>
              <c:showSerName val="0"/>
              <c:showPercent val="0"/>
              <c:showBubbleSize val="0"/>
              <c:extLst>
                <c:ext xmlns:c16="http://schemas.microsoft.com/office/drawing/2014/chart" uri="{C3380CC4-5D6E-409C-BE32-E72D297353CC}">
                  <c16:uniqueId val="{00000002-810D-4A5D-819A-66283C5D5D2D}"/>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tint val="86000"/>
                        </a:schemeClr>
                      </a:solidFill>
                      <a:latin typeface="+mn-lt"/>
                      <a:ea typeface="+mn-ea"/>
                      <a:cs typeface="+mn-cs"/>
                    </a:defRPr>
                  </a:pPr>
                  <a:endParaRPr lang="es-MX"/>
                </a:p>
              </c:txPr>
              <c:dLblPos val="outEnd"/>
              <c:showLegendKey val="0"/>
              <c:showVal val="0"/>
              <c:showCatName val="1"/>
              <c:showSerName val="0"/>
              <c:showPercent val="0"/>
              <c:showBubbleSize val="0"/>
              <c:extLst>
                <c:ext xmlns:c16="http://schemas.microsoft.com/office/drawing/2014/chart" uri="{C3380CC4-5D6E-409C-BE32-E72D297353CC}">
                  <c16:uniqueId val="{00000003-810D-4A5D-819A-66283C5D5D2D}"/>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tint val="58000"/>
                        </a:schemeClr>
                      </a:solidFill>
                      <a:latin typeface="+mn-lt"/>
                      <a:ea typeface="+mn-ea"/>
                      <a:cs typeface="+mn-cs"/>
                    </a:defRPr>
                  </a:pPr>
                  <a:endParaRPr lang="es-MX"/>
                </a:p>
              </c:txPr>
              <c:dLblPos val="outEnd"/>
              <c:showLegendKey val="0"/>
              <c:showVal val="0"/>
              <c:showCatName val="1"/>
              <c:showSerName val="0"/>
              <c:showPercent val="0"/>
              <c:showBubbleSize val="0"/>
              <c:extLst>
                <c:ext xmlns:c16="http://schemas.microsoft.com/office/drawing/2014/chart" uri="{C3380CC4-5D6E-409C-BE32-E72D297353CC}">
                  <c16:uniqueId val="{00000004-810D-4A5D-819A-66283C5D5D2D}"/>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Hoja1!$A$2:$A$5</c:f>
              <c:numCache>
                <c:formatCode>General</c:formatCode>
                <c:ptCount val="4"/>
                <c:pt idx="0">
                  <c:v>2020</c:v>
                </c:pt>
                <c:pt idx="1">
                  <c:v>2021</c:v>
                </c:pt>
                <c:pt idx="2">
                  <c:v>2022</c:v>
                </c:pt>
              </c:numCache>
            </c:numRef>
          </c:cat>
          <c:val>
            <c:numRef>
              <c:f>Hoja1!$B$2:$B$5</c:f>
              <c:numCache>
                <c:formatCode>General</c:formatCode>
                <c:ptCount val="4"/>
                <c:pt idx="0">
                  <c:v>25</c:v>
                </c:pt>
                <c:pt idx="1">
                  <c:v>25</c:v>
                </c:pt>
                <c:pt idx="2">
                  <c:v>3.6</c:v>
                </c:pt>
              </c:numCache>
            </c:numRef>
          </c:val>
          <c:extLst>
            <c:ext xmlns:c16="http://schemas.microsoft.com/office/drawing/2014/chart" uri="{C3380CC4-5D6E-409C-BE32-E72D297353CC}">
              <c16:uniqueId val="{00000000-E6C8-402B-AB8A-5FF4644B73EA}"/>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Hoja1!$B$1</c:f>
              <c:strCache>
                <c:ptCount val="1"/>
                <c:pt idx="0">
                  <c:v>Columna1</c:v>
                </c:pt>
              </c:strCache>
            </c:strRef>
          </c:tx>
          <c:spPr>
            <a:solidFill>
              <a:schemeClr val="bg1">
                <a:lumMod val="50000"/>
              </a:schemeClr>
            </a:solidFill>
          </c:spPr>
          <c:invertIfNegative val="0"/>
          <c:cat>
            <c:strRef>
              <c:f>Hoja1!$A$2:$A$6</c:f>
              <c:strCache>
                <c:ptCount val="4"/>
                <c:pt idx="0">
                  <c:v>robo a casa habitacion </c:v>
                </c:pt>
                <c:pt idx="1">
                  <c:v>llamdas de extorsion </c:v>
                </c:pt>
                <c:pt idx="2">
                  <c:v>violencia familiar</c:v>
                </c:pt>
                <c:pt idx="3">
                  <c:v>faltas administrtivas </c:v>
                </c:pt>
              </c:strCache>
            </c:strRef>
          </c:cat>
          <c:val>
            <c:numRef>
              <c:f>Hoja1!$B$2:$B$6</c:f>
              <c:numCache>
                <c:formatCode>General</c:formatCode>
                <c:ptCount val="5"/>
                <c:pt idx="0">
                  <c:v>2</c:v>
                </c:pt>
                <c:pt idx="1">
                  <c:v>1</c:v>
                </c:pt>
                <c:pt idx="2">
                  <c:v>1.5</c:v>
                </c:pt>
                <c:pt idx="3">
                  <c:v>2</c:v>
                </c:pt>
              </c:numCache>
            </c:numRef>
          </c:val>
          <c:extLst>
            <c:ext xmlns:c16="http://schemas.microsoft.com/office/drawing/2014/chart" uri="{C3380CC4-5D6E-409C-BE32-E72D297353CC}">
              <c16:uniqueId val="{00000000-E151-4191-9390-131DE616FDCE}"/>
            </c:ext>
          </c:extLst>
        </c:ser>
        <c:ser>
          <c:idx val="1"/>
          <c:order val="1"/>
          <c:tx>
            <c:strRef>
              <c:f>Hoja1!$C$1</c:f>
              <c:strCache>
                <c:ptCount val="1"/>
                <c:pt idx="0">
                  <c:v>Columna2</c:v>
                </c:pt>
              </c:strCache>
            </c:strRef>
          </c:tx>
          <c:spPr>
            <a:solidFill>
              <a:srgbClr val="CCCC00"/>
            </a:solidFill>
          </c:spPr>
          <c:invertIfNegative val="0"/>
          <c:cat>
            <c:strRef>
              <c:f>Hoja1!$A$2:$A$6</c:f>
              <c:strCache>
                <c:ptCount val="4"/>
                <c:pt idx="0">
                  <c:v>robo a casa habitacion </c:v>
                </c:pt>
                <c:pt idx="1">
                  <c:v>llamdas de extorsion </c:v>
                </c:pt>
                <c:pt idx="2">
                  <c:v>violencia familiar</c:v>
                </c:pt>
                <c:pt idx="3">
                  <c:v>faltas administrtivas </c:v>
                </c:pt>
              </c:strCache>
            </c:strRef>
          </c:cat>
          <c:val>
            <c:numRef>
              <c:f>Hoja1!$C$2:$C$6</c:f>
              <c:numCache>
                <c:formatCode>General</c:formatCode>
                <c:ptCount val="5"/>
                <c:pt idx="0">
                  <c:v>2</c:v>
                </c:pt>
                <c:pt idx="1">
                  <c:v>1</c:v>
                </c:pt>
                <c:pt idx="2">
                  <c:v>1.5</c:v>
                </c:pt>
                <c:pt idx="3">
                  <c:v>2</c:v>
                </c:pt>
              </c:numCache>
            </c:numRef>
          </c:val>
          <c:extLst>
            <c:ext xmlns:c16="http://schemas.microsoft.com/office/drawing/2014/chart" uri="{C3380CC4-5D6E-409C-BE32-E72D297353CC}">
              <c16:uniqueId val="{00000001-E151-4191-9390-131DE616FDCE}"/>
            </c:ext>
          </c:extLst>
        </c:ser>
        <c:ser>
          <c:idx val="2"/>
          <c:order val="2"/>
          <c:tx>
            <c:strRef>
              <c:f>Hoja1!$D$1</c:f>
              <c:strCache>
                <c:ptCount val="1"/>
                <c:pt idx="0">
                  <c:v>Columna3</c:v>
                </c:pt>
              </c:strCache>
            </c:strRef>
          </c:tx>
          <c:spPr>
            <a:solidFill>
              <a:srgbClr val="009999"/>
            </a:solidFill>
          </c:spPr>
          <c:invertIfNegative val="0"/>
          <c:cat>
            <c:strRef>
              <c:f>Hoja1!$A$2:$A$6</c:f>
              <c:strCache>
                <c:ptCount val="4"/>
                <c:pt idx="0">
                  <c:v>robo a casa habitacion </c:v>
                </c:pt>
                <c:pt idx="1">
                  <c:v>llamdas de extorsion </c:v>
                </c:pt>
                <c:pt idx="2">
                  <c:v>violencia familiar</c:v>
                </c:pt>
                <c:pt idx="3">
                  <c:v>faltas administrtivas </c:v>
                </c:pt>
              </c:strCache>
            </c:strRef>
          </c:cat>
          <c:val>
            <c:numRef>
              <c:f>Hoja1!$D$2:$D$6</c:f>
              <c:numCache>
                <c:formatCode>General</c:formatCode>
                <c:ptCount val="5"/>
                <c:pt idx="0">
                  <c:v>2</c:v>
                </c:pt>
                <c:pt idx="1">
                  <c:v>1</c:v>
                </c:pt>
                <c:pt idx="2">
                  <c:v>1.5</c:v>
                </c:pt>
                <c:pt idx="3">
                  <c:v>2</c:v>
                </c:pt>
              </c:numCache>
            </c:numRef>
          </c:val>
          <c:extLst>
            <c:ext xmlns:c16="http://schemas.microsoft.com/office/drawing/2014/chart" uri="{C3380CC4-5D6E-409C-BE32-E72D297353CC}">
              <c16:uniqueId val="{00000002-E151-4191-9390-131DE616FDCE}"/>
            </c:ext>
          </c:extLst>
        </c:ser>
        <c:dLbls>
          <c:showLegendKey val="0"/>
          <c:showVal val="0"/>
          <c:showCatName val="0"/>
          <c:showSerName val="0"/>
          <c:showPercent val="0"/>
          <c:showBubbleSize val="0"/>
        </c:dLbls>
        <c:gapWidth val="150"/>
        <c:axId val="66345216"/>
        <c:axId val="66347008"/>
      </c:barChart>
      <c:catAx>
        <c:axId val="66345216"/>
        <c:scaling>
          <c:orientation val="minMax"/>
        </c:scaling>
        <c:delete val="0"/>
        <c:axPos val="b"/>
        <c:numFmt formatCode="General" sourceLinked="0"/>
        <c:majorTickMark val="out"/>
        <c:minorTickMark val="none"/>
        <c:tickLblPos val="nextTo"/>
        <c:txPr>
          <a:bodyPr/>
          <a:lstStyle/>
          <a:p>
            <a:pPr>
              <a:defRPr baseline="0">
                <a:solidFill>
                  <a:schemeClr val="bg1"/>
                </a:solidFill>
              </a:defRPr>
            </a:pPr>
            <a:endParaRPr lang="es-MX"/>
          </a:p>
        </c:txPr>
        <c:crossAx val="66347008"/>
        <c:crosses val="autoZero"/>
        <c:auto val="1"/>
        <c:lblAlgn val="ctr"/>
        <c:lblOffset val="100"/>
        <c:noMultiLvlLbl val="0"/>
      </c:catAx>
      <c:valAx>
        <c:axId val="66347008"/>
        <c:scaling>
          <c:orientation val="minMax"/>
        </c:scaling>
        <c:delete val="0"/>
        <c:axPos val="l"/>
        <c:majorGridlines/>
        <c:numFmt formatCode="General" sourceLinked="1"/>
        <c:majorTickMark val="out"/>
        <c:minorTickMark val="none"/>
        <c:tickLblPos val="nextTo"/>
        <c:txPr>
          <a:bodyPr/>
          <a:lstStyle/>
          <a:p>
            <a:pPr>
              <a:defRPr baseline="0">
                <a:solidFill>
                  <a:schemeClr val="bg1"/>
                </a:solidFill>
              </a:defRPr>
            </a:pPr>
            <a:endParaRPr lang="es-MX"/>
          </a:p>
        </c:txPr>
        <c:crossAx val="66345216"/>
        <c:crosses val="autoZero"/>
        <c:crossBetween val="between"/>
      </c:valAx>
      <c:spPr>
        <a:noFill/>
        <a:ln>
          <a:noFill/>
        </a:ln>
      </c:spPr>
    </c:plotArea>
    <c:legend>
      <c:legendPos val="r"/>
      <c:legendEntry>
        <c:idx val="0"/>
        <c:txPr>
          <a:bodyPr/>
          <a:lstStyle/>
          <a:p>
            <a:pPr>
              <a:defRPr baseline="0">
                <a:solidFill>
                  <a:schemeClr val="bg1"/>
                </a:solidFill>
              </a:defRPr>
            </a:pPr>
            <a:endParaRPr lang="es-MX"/>
          </a:p>
        </c:txPr>
      </c:legendEntry>
      <c:legendEntry>
        <c:idx val="1"/>
        <c:txPr>
          <a:bodyPr/>
          <a:lstStyle/>
          <a:p>
            <a:pPr>
              <a:defRPr baseline="0">
                <a:solidFill>
                  <a:schemeClr val="bg1"/>
                </a:solidFill>
              </a:defRPr>
            </a:pPr>
            <a:endParaRPr lang="es-MX"/>
          </a:p>
        </c:txPr>
      </c:legendEntry>
      <c:legendEntry>
        <c:idx val="2"/>
        <c:txPr>
          <a:bodyPr/>
          <a:lstStyle/>
          <a:p>
            <a:pPr>
              <a:defRPr baseline="0">
                <a:solidFill>
                  <a:schemeClr val="bg1"/>
                </a:solidFill>
              </a:defRPr>
            </a:pPr>
            <a:endParaRPr lang="es-MX"/>
          </a:p>
        </c:txPr>
      </c:legendEntry>
      <c:layout>
        <c:manualLayout>
          <c:xMode val="edge"/>
          <c:yMode val="edge"/>
          <c:x val="0.84890760068443971"/>
          <c:y val="0.39064958645942288"/>
          <c:w val="0.13698139273042434"/>
          <c:h val="0.34770707582132759"/>
        </c:manualLayout>
      </c:layout>
      <c:overlay val="0"/>
    </c:legend>
    <c:plotVisOnly val="1"/>
    <c:dispBlanksAs val="gap"/>
    <c:showDLblsOverMax val="0"/>
  </c:chart>
  <c:spPr>
    <a:noFill/>
    <a:ln>
      <a:noFill/>
    </a:ln>
  </c:spPr>
  <c:externalData r:id="rId1">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D6D91-961B-471C-A178-95893E96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1414</Words>
  <Characters>7782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dc:creator>
  <cp:lastModifiedBy>Obras Publicas 1</cp:lastModifiedBy>
  <cp:revision>4</cp:revision>
  <dcterms:created xsi:type="dcterms:W3CDTF">2022-03-09T16:42:00Z</dcterms:created>
  <dcterms:modified xsi:type="dcterms:W3CDTF">2022-08-12T17:22:00Z</dcterms:modified>
</cp:coreProperties>
</file>