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72727" w:themeColor="text1" w:themeTint="D8"/>
  <w:body>
    <w:p w14:paraId="6B31E5C8" w14:textId="77777777" w:rsidR="00F7074D" w:rsidRPr="009878A0" w:rsidRDefault="004A6843" w:rsidP="009878A0">
      <w:pPr>
        <w:pStyle w:val="Sinespaciado"/>
        <w:pBdr>
          <w:bottom w:val="single" w:sz="4" w:space="1" w:color="CCCC00"/>
        </w:pBdr>
        <w:jc w:val="center"/>
        <w:rPr>
          <w:rFonts w:asciiTheme="majorHAnsi" w:eastAsia="Microsoft JhengHei" w:hAnsiTheme="majorHAnsi" w:cstheme="majorHAnsi"/>
          <w:bCs/>
          <w:sz w:val="40"/>
          <w:szCs w:val="40"/>
        </w:rPr>
      </w:pPr>
      <w:r w:rsidRPr="009878A0">
        <w:rPr>
          <w:rFonts w:asciiTheme="majorHAnsi" w:eastAsia="Microsoft JhengHei" w:hAnsiTheme="majorHAnsi" w:cstheme="majorHAnsi"/>
          <w:bCs/>
          <w:sz w:val="40"/>
          <w:szCs w:val="40"/>
        </w:rPr>
        <w:t>ORGANO INTERNO DE CONTROL</w:t>
      </w:r>
    </w:p>
    <w:p w14:paraId="74491EB1" w14:textId="77777777" w:rsidR="004A6843" w:rsidRPr="009878A0" w:rsidRDefault="004A6843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28BB2709" w14:textId="77777777" w:rsidR="009878A0" w:rsidRDefault="009878A0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561EBB6B" w14:textId="77777777" w:rsidR="009878A0" w:rsidRDefault="009878A0" w:rsidP="004A6843">
      <w:pPr>
        <w:pStyle w:val="Sinespaciado"/>
        <w:rPr>
          <w:rFonts w:ascii="Century Gothic" w:eastAsia="Microsoft JhengHei" w:hAnsi="Century Gothic" w:cs="Arial"/>
          <w:b/>
          <w:sz w:val="24"/>
          <w:szCs w:val="24"/>
        </w:rPr>
      </w:pPr>
    </w:p>
    <w:p w14:paraId="342B6204" w14:textId="0B2CF0CE" w:rsidR="004A6843" w:rsidRPr="009878A0" w:rsidRDefault="004A6843" w:rsidP="004A6843">
      <w:pPr>
        <w:pStyle w:val="Sinespaciado"/>
        <w:rPr>
          <w:rFonts w:ascii="Century Gothic" w:eastAsia="Microsoft JhengHei" w:hAnsi="Century Gothic" w:cs="Arial"/>
          <w:b/>
          <w:sz w:val="24"/>
          <w:szCs w:val="24"/>
        </w:rPr>
      </w:pPr>
      <w:r w:rsidRPr="009878A0">
        <w:rPr>
          <w:rFonts w:ascii="Century Gothic" w:eastAsia="Microsoft JhengHei" w:hAnsi="Century Gothic" w:cs="Arial"/>
          <w:b/>
          <w:sz w:val="24"/>
          <w:szCs w:val="24"/>
        </w:rPr>
        <w:t>DIAGNÓSTICO</w:t>
      </w:r>
    </w:p>
    <w:p w14:paraId="7F5BF4B6" w14:textId="77777777" w:rsidR="004A6843" w:rsidRPr="009878A0" w:rsidRDefault="004A6843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05C7F257" w14:textId="77777777" w:rsidR="00B00F9C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El órgano interno de control es la unidad administrativa </w:t>
      </w:r>
      <w:r w:rsidRPr="009878A0">
        <w:rPr>
          <w:rFonts w:ascii="Microsoft JhengHei" w:eastAsia="Microsoft JhengHei" w:hAnsi="Microsoft JhengHei" w:cs="Arial"/>
          <w:sz w:val="24"/>
          <w:szCs w:val="24"/>
          <w:lang w:val="es-ES"/>
        </w:rPr>
        <w:t>encargada de promover, evaluar y fortalecer el buen funcionamiento del control interno en el ente publico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²</w:t>
      </w:r>
      <w:r w:rsidRPr="009878A0">
        <w:rPr>
          <w:rFonts w:ascii="Microsoft JhengHei" w:eastAsia="Microsoft JhengHei" w:hAnsi="Microsoft JhengHei" w:cs="Arial"/>
          <w:bCs/>
          <w:sz w:val="24"/>
          <w:szCs w:val="24"/>
        </w:rPr>
        <w:t xml:space="preserve">, así como 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corregir, investigar y substanciar las faltas administrativas en que incurran los servidores públicos del Ayuntamiento; para resolver las faltas administrativas no graves y para remitir los procedimientos sobre faltas administrativas graves al Tribunal de Justicia Administrativa respecto a su resolución, de conformidad con los procedimientos que establezcan las leyes generales y locales en la materia, de igual manera revisar el ingreso, egreso, manejo, custodia y aplicación de recursos públicos. El órgano interno de control estará facultado para presentar ante la Fiscalía Especializada en Combate a la Corrupción las denuncias por hechos u omisiones que pudieran ser constitutivos de delito¹.</w:t>
      </w:r>
    </w:p>
    <w:p w14:paraId="62A8AFC5" w14:textId="77777777" w:rsidR="00B00F9C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7C6C134C" w14:textId="77777777" w:rsidR="00B00F9C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Para efectos de este diagnóstico, y tal como se encuadra en el artículo 51 párrafo segundo de la Ley de Responsabilidades Políticas y Administrativas del Estado de Jalisco, el OIC deberá emitir y aprobar los manuales, lineamientos y estatutos necesarios para el desempeño de sus funciones³.</w:t>
      </w:r>
    </w:p>
    <w:p w14:paraId="592D38AE" w14:textId="77777777" w:rsidR="00B00F9C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36E43E9B" w14:textId="77777777" w:rsidR="00B00F9C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Así pues, es necesario implementar mecanismos que permitan a los servidores públicos del Gobierno Municipal, con ayuda de las tecnologías de información, presentar, así como inscribir o en su caso, requerir por el OIC y mantener actualizadas en el sistema correspondiente, las declaraciones de situación patrimonial, de intereses y la constancia de presentación de la declaración fiscal de los servidores públicos⁴.</w:t>
      </w:r>
    </w:p>
    <w:p w14:paraId="6D42A084" w14:textId="77777777" w:rsidR="00B00F9C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3014CA7C" w14:textId="77777777" w:rsidR="00B00F9C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lastRenderedPageBreak/>
        <w:t>Con ayuda de la estructura que por Ley se requiere, realizar verificaciones aleatorias de las declaraciones que obren en el sistema de evolución patrimonial, de declaración de intereses y de declaración fiscal con propósitos de investigación y auditoría⁴.</w:t>
      </w:r>
    </w:p>
    <w:p w14:paraId="28A8CB7E" w14:textId="77777777" w:rsidR="00B00F9C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6E936F72" w14:textId="77777777" w:rsidR="00B00F9C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La conducta adecuada del servicio público, no solo debe ser dentro del área laboral, si no en el entorno del servidor público donde interactúa, por tanto, se deberá emitir, observar y vigilar el cumplimiento del Código de Ética, al que deberán sujetarse los servidores públicos del Ayuntamiento, conforme a los lineamientos que emita el Sistema Nacional Anticorrupción⁴</w:t>
      </w:r>
    </w:p>
    <w:p w14:paraId="29275DFA" w14:textId="77777777" w:rsidR="00B00F9C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664D1982" w14:textId="77777777" w:rsidR="00B00F9C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La Red de Contralorías Ciudadanas es un instrumento de participación por el que la ciudadanía en general, de forma voluntaria y honorífica, asume el compromiso de colaborar con la administración pública, para vigilar y supervisar que el gasto público sea implementado de forma transparente, eficaz y eficiente.</w:t>
      </w:r>
    </w:p>
    <w:p w14:paraId="7EF791EE" w14:textId="77777777" w:rsidR="0086758D" w:rsidRPr="009878A0" w:rsidRDefault="0086758D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7AA64CA5" w14:textId="77777777" w:rsidR="008E7F94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De acuerdo a la Ley del Sistema de Participación Ciudadana y Popular para la Gobernanza del Estado de Jalisco, la Contraloría Social es el mecanismo de participación mediante el cual la ciudadanía y los organismos del sector social </w:t>
      </w:r>
    </w:p>
    <w:p w14:paraId="58D75970" w14:textId="77777777" w:rsidR="008E7F94" w:rsidRPr="009878A0" w:rsidRDefault="008E7F94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588F157F" w14:textId="77777777" w:rsidR="004A6843" w:rsidRPr="009878A0" w:rsidRDefault="00B00F9C" w:rsidP="00B00F9C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privado forman una instancia de vigilancia y observación de las actividades de gobierno y se tiene la obligación de establecer dentro de su normatividad interna aplicable la figura de la Contraloría Social.</w:t>
      </w:r>
    </w:p>
    <w:p w14:paraId="043893FD" w14:textId="77777777" w:rsidR="004A6843" w:rsidRPr="009878A0" w:rsidRDefault="004A6843" w:rsidP="004A6843">
      <w:pPr>
        <w:pStyle w:val="Sinespaciado"/>
        <w:rPr>
          <w:rFonts w:ascii="Microsoft JhengHei" w:eastAsia="Microsoft JhengHei" w:hAnsi="Microsoft JhengHei" w:cs="Arial"/>
          <w:sz w:val="24"/>
          <w:szCs w:val="24"/>
        </w:rPr>
      </w:pPr>
    </w:p>
    <w:p w14:paraId="11D21FC0" w14:textId="77777777" w:rsidR="009878A0" w:rsidRDefault="009878A0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5FD49BEF" w14:textId="77777777" w:rsidR="009878A0" w:rsidRDefault="009878A0">
      <w:pPr>
        <w:rPr>
          <w:rFonts w:ascii="Microsoft JhengHei" w:eastAsia="Microsoft JhengHei" w:hAnsi="Microsoft JhengHei" w:cs="Arial"/>
          <w:b/>
          <w:sz w:val="24"/>
          <w:szCs w:val="24"/>
        </w:rPr>
      </w:pPr>
      <w:r>
        <w:rPr>
          <w:rFonts w:ascii="Microsoft JhengHei" w:eastAsia="Microsoft JhengHei" w:hAnsi="Microsoft JhengHei" w:cs="Arial"/>
          <w:b/>
          <w:sz w:val="24"/>
          <w:szCs w:val="24"/>
        </w:rPr>
        <w:br w:type="page"/>
      </w:r>
    </w:p>
    <w:p w14:paraId="09920524" w14:textId="4518B495" w:rsidR="00751B0E" w:rsidRPr="009878A0" w:rsidRDefault="00751B0E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b/>
          <w:sz w:val="24"/>
          <w:szCs w:val="24"/>
        </w:rPr>
        <w:lastRenderedPageBreak/>
        <w:t>PROBLEMÁTICA.</w:t>
      </w:r>
    </w:p>
    <w:p w14:paraId="41DBDA58" w14:textId="77777777" w:rsidR="00751B0E" w:rsidRPr="009878A0" w:rsidRDefault="00751B0E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2A543883" w14:textId="502FE5FC" w:rsidR="00751B0E" w:rsidRPr="009878A0" w:rsidRDefault="009878A0" w:rsidP="009878A0">
      <w:pPr>
        <w:pStyle w:val="Sinespaciado"/>
        <w:numPr>
          <w:ilvl w:val="0"/>
          <w:numId w:val="5"/>
        </w:numPr>
        <w:jc w:val="both"/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  <w:t>Estructura mínima y disponibilidad presupuestal</w:t>
      </w:r>
    </w:p>
    <w:p w14:paraId="7C08CB8F" w14:textId="77777777" w:rsidR="00D81FA1" w:rsidRPr="009878A0" w:rsidRDefault="00D81FA1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78762235" w14:textId="77777777" w:rsidR="00D81FA1" w:rsidRPr="009878A0" w:rsidRDefault="00D81FA1" w:rsidP="00D81FA1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b/>
          <w:sz w:val="24"/>
          <w:szCs w:val="24"/>
        </w:rPr>
        <w:t> 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El órgano</w:t>
      </w:r>
      <w:r w:rsidR="00922E08" w:rsidRPr="009878A0">
        <w:rPr>
          <w:rFonts w:ascii="Microsoft JhengHei" w:eastAsia="Microsoft JhengHei" w:hAnsi="Microsoft JhengHei" w:cs="Arial"/>
          <w:sz w:val="24"/>
          <w:szCs w:val="24"/>
        </w:rPr>
        <w:t xml:space="preserve"> interno de control se debe integrar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con una estructura que permita que la autoridad encargada de la substanciación y, en su caso, de la resolución del procedimiento de responsabilidad administrativa, sea distinto de aquél o aquellos encargados de la investigación, garantizando la independencia en el ejercicio de sus funciones, para lo cual, contará con un Titular y las siguientes áreas:</w:t>
      </w:r>
    </w:p>
    <w:p w14:paraId="670B55CB" w14:textId="77777777" w:rsidR="00922E08" w:rsidRPr="009878A0" w:rsidRDefault="00922E08" w:rsidP="00D81FA1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38E74768" w14:textId="77777777" w:rsidR="00D81FA1" w:rsidRPr="009878A0" w:rsidRDefault="00D81FA1" w:rsidP="00D81FA1">
      <w:pPr>
        <w:pStyle w:val="Sinespaciado"/>
        <w:numPr>
          <w:ilvl w:val="0"/>
          <w:numId w:val="1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De Denuncias e Investigación Administrativa, la cual fungirá como Autoridad Investigadora;</w:t>
      </w:r>
    </w:p>
    <w:p w14:paraId="1BAB2186" w14:textId="77777777" w:rsidR="00D81FA1" w:rsidRPr="009878A0" w:rsidRDefault="00D81FA1" w:rsidP="00D81FA1">
      <w:pPr>
        <w:pStyle w:val="Sinespaciado"/>
        <w:numPr>
          <w:ilvl w:val="0"/>
          <w:numId w:val="1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De Responsabilidades Administrativas, la cual fungirá como Autoridad Sustanciadora y en su caso como Autoridad Resolutoria;</w:t>
      </w:r>
    </w:p>
    <w:p w14:paraId="0F31C2C3" w14:textId="77777777" w:rsidR="00D81FA1" w:rsidRPr="009878A0" w:rsidRDefault="00D81FA1" w:rsidP="00D81FA1">
      <w:pPr>
        <w:pStyle w:val="Sinespaciado"/>
        <w:numPr>
          <w:ilvl w:val="0"/>
          <w:numId w:val="1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De Auditoría, Promoción, Evaluación, Fortalecimiento y Control Interno; y</w:t>
      </w:r>
    </w:p>
    <w:p w14:paraId="03096558" w14:textId="77777777" w:rsidR="00D81FA1" w:rsidRPr="009878A0" w:rsidRDefault="00D81FA1" w:rsidP="00D81FA1">
      <w:pPr>
        <w:pStyle w:val="Sinespaciado"/>
        <w:numPr>
          <w:ilvl w:val="0"/>
          <w:numId w:val="1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Las demás que se consideren necesarias para el adecuado desempeño del órgano interno de control.</w:t>
      </w:r>
    </w:p>
    <w:p w14:paraId="1A81A4C8" w14:textId="77777777" w:rsidR="00D81FA1" w:rsidRPr="009878A0" w:rsidRDefault="00D81FA1" w:rsidP="00922E08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7A9B4EE4" w14:textId="77777777" w:rsidR="00D81FA1" w:rsidRPr="009878A0" w:rsidRDefault="00D81FA1" w:rsidP="00D81FA1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Para el estudio y despacho de los asuntos de su competenci</w:t>
      </w:r>
      <w:r w:rsidR="00922E08" w:rsidRPr="009878A0">
        <w:rPr>
          <w:rFonts w:ascii="Microsoft JhengHei" w:eastAsia="Microsoft JhengHei" w:hAnsi="Microsoft JhengHei" w:cs="Arial"/>
          <w:sz w:val="24"/>
          <w:szCs w:val="24"/>
        </w:rPr>
        <w:t>a, el Órgano Interno de Control del Gobierno Municipal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se auxiliará del personal adscrito al área para el cumplimiento de las funciones a su cargo, atendiendo a su disponibilidad presupuestal aprobada</w:t>
      </w:r>
      <w:r w:rsidR="00CD4484" w:rsidRPr="009878A0">
        <w:rPr>
          <w:rFonts w:ascii="Microsoft JhengHei" w:eastAsia="Microsoft JhengHei" w:hAnsi="Microsoft JhengHei" w:cs="Arial"/>
          <w:sz w:val="24"/>
          <w:szCs w:val="24"/>
        </w:rPr>
        <w:t>³</w:t>
      </w:r>
      <w:r w:rsidR="00922E08" w:rsidRPr="009878A0">
        <w:rPr>
          <w:rFonts w:ascii="Microsoft JhengHei" w:eastAsia="Microsoft JhengHei" w:hAnsi="Microsoft JhengHei" w:cs="Arial"/>
          <w:sz w:val="24"/>
          <w:szCs w:val="24"/>
        </w:rPr>
        <w:t>, sin embargo,</w:t>
      </w:r>
      <w:r w:rsidR="00CD4484" w:rsidRPr="009878A0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="00922E08" w:rsidRPr="009878A0">
        <w:rPr>
          <w:rFonts w:ascii="Microsoft JhengHei" w:eastAsia="Microsoft JhengHei" w:hAnsi="Microsoft JhengHei" w:cs="Arial"/>
          <w:sz w:val="24"/>
          <w:szCs w:val="24"/>
        </w:rPr>
        <w:t>esto no es tomado a consideración por el cuerpo edilicio del Ayuntamiento</w:t>
      </w:r>
      <w:r w:rsidR="00CD4484" w:rsidRPr="009878A0">
        <w:rPr>
          <w:rFonts w:ascii="Microsoft JhengHei" w:eastAsia="Microsoft JhengHei" w:hAnsi="Microsoft JhengHei" w:cs="Arial"/>
          <w:sz w:val="24"/>
          <w:szCs w:val="24"/>
        </w:rPr>
        <w:t xml:space="preserve"> y se convierte en un problema de ejercicio de obligaciones y facultades de la unidad administrativa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.</w:t>
      </w:r>
    </w:p>
    <w:p w14:paraId="332E878D" w14:textId="77777777" w:rsidR="00D81FA1" w:rsidRPr="009878A0" w:rsidRDefault="00D81FA1" w:rsidP="00D81FA1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1B12F67B" w14:textId="77777777" w:rsidR="00D81FA1" w:rsidRPr="009878A0" w:rsidRDefault="00922E08" w:rsidP="00D81FA1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El cabildo deberá</w:t>
      </w:r>
      <w:r w:rsidR="00D81FA1" w:rsidRPr="009878A0">
        <w:rPr>
          <w:rFonts w:ascii="Microsoft JhengHei" w:eastAsia="Microsoft JhengHei" w:hAnsi="Microsoft JhengHei" w:cs="Arial"/>
          <w:sz w:val="24"/>
          <w:szCs w:val="24"/>
        </w:rPr>
        <w:t xml:space="preserve"> de hacer la previsión presupuestal necesaria para el debido cumplimiento de las funciones de 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los Órganos Internos de Control</w:t>
      </w:r>
      <w:r w:rsidR="00CD4484" w:rsidRPr="009878A0">
        <w:rPr>
          <w:rFonts w:ascii="Microsoft JhengHei" w:eastAsia="Microsoft JhengHei" w:hAnsi="Microsoft JhengHei" w:cs="Arial"/>
          <w:sz w:val="24"/>
          <w:szCs w:val="24"/>
        </w:rPr>
        <w:t>³,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lo </w:t>
      </w:r>
      <w:r w:rsidR="00AA4B3F" w:rsidRPr="009878A0">
        <w:rPr>
          <w:rFonts w:ascii="Microsoft JhengHei" w:eastAsia="Microsoft JhengHei" w:hAnsi="Microsoft JhengHei" w:cs="Arial"/>
          <w:sz w:val="24"/>
          <w:szCs w:val="24"/>
        </w:rPr>
        <w:t>cual,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de no ser así</w:t>
      </w:r>
      <w:r w:rsidR="00CD4484" w:rsidRPr="009878A0">
        <w:rPr>
          <w:rFonts w:ascii="Microsoft JhengHei" w:eastAsia="Microsoft JhengHei" w:hAnsi="Microsoft JhengHei" w:cs="Arial"/>
          <w:sz w:val="24"/>
          <w:szCs w:val="24"/>
        </w:rPr>
        <w:t>,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pudiera ser letra muerta en el actuar cotidiano del ejercicio operativo y administrativo del OIC.</w:t>
      </w:r>
    </w:p>
    <w:p w14:paraId="41868062" w14:textId="77777777" w:rsidR="00AA4B3F" w:rsidRPr="009878A0" w:rsidRDefault="00AA4B3F" w:rsidP="00D81FA1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5FF8162D" w14:textId="7350A576" w:rsidR="00AA4B3F" w:rsidRPr="009878A0" w:rsidRDefault="009878A0" w:rsidP="009878A0">
      <w:pPr>
        <w:pStyle w:val="Sinespaciado"/>
        <w:numPr>
          <w:ilvl w:val="0"/>
          <w:numId w:val="5"/>
        </w:numPr>
        <w:jc w:val="both"/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  <w:t>Marco regulatorio y armonización de instrumentos jurídicos.</w:t>
      </w:r>
    </w:p>
    <w:p w14:paraId="4B77AFBD" w14:textId="77777777" w:rsidR="009F0858" w:rsidRPr="009878A0" w:rsidRDefault="009F0858" w:rsidP="00D81FA1">
      <w:pPr>
        <w:pStyle w:val="Sinespaciado"/>
        <w:jc w:val="both"/>
        <w:rPr>
          <w:rFonts w:ascii="Microsoft JhengHei" w:eastAsia="Microsoft JhengHei" w:hAnsi="Microsoft JhengHei" w:cs="Arial"/>
          <w:b/>
          <w:color w:val="808080" w:themeColor="background1" w:themeShade="80"/>
          <w:sz w:val="24"/>
          <w:szCs w:val="24"/>
        </w:rPr>
      </w:pPr>
    </w:p>
    <w:p w14:paraId="6E1BA79A" w14:textId="327422BC" w:rsidR="009F0858" w:rsidRPr="009878A0" w:rsidRDefault="009F0858" w:rsidP="00D81FA1">
      <w:pPr>
        <w:pStyle w:val="Sinespaciado"/>
        <w:jc w:val="both"/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Es necesario adecuar el marco jurídico de todo el ente público, armonizar sus reglamentos con las leyes del estado, pero principalmente crear los </w:t>
      </w:r>
      <w:r w:rsidR="00C64DC6" w:rsidRPr="009878A0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mecanismos </w:t>
      </w:r>
      <w:r w:rsidRPr="009878A0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lineamientos para su adecuada aplicación por las unidades administrativas, este proceso deberá estar encaminado a </w:t>
      </w:r>
      <w:r w:rsidR="0098152F" w:rsidRPr="009878A0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fortalecer los</w:t>
      </w:r>
      <w:r w:rsidRPr="009878A0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 niveles de eficacia y eficiencia</w:t>
      </w:r>
      <w:r w:rsidR="00582375" w:rsidRPr="009878A0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 en las funciones de dirección, coordinación, operación y consenso de las estrategias, acciones y programas del Gobierno Municipal, con la noble finalidad del adecuado ejercicio </w:t>
      </w:r>
      <w:r w:rsidR="0098152F" w:rsidRPr="009878A0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>público</w:t>
      </w:r>
      <w:r w:rsidR="00582375" w:rsidRPr="009878A0">
        <w:rPr>
          <w:rFonts w:ascii="Microsoft JhengHei" w:eastAsia="Microsoft JhengHei" w:hAnsi="Microsoft JhengHei" w:cs="Arial"/>
          <w:color w:val="FFFFFF" w:themeColor="background1"/>
          <w:sz w:val="24"/>
          <w:szCs w:val="24"/>
        </w:rPr>
        <w:t xml:space="preserve"> y congruencia legal.</w:t>
      </w:r>
    </w:p>
    <w:p w14:paraId="35F9A61F" w14:textId="77777777" w:rsidR="00AA4B3F" w:rsidRPr="009878A0" w:rsidRDefault="00AA4B3F" w:rsidP="00D81FA1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47797825" w14:textId="77777777" w:rsidR="009878A0" w:rsidRDefault="009878A0" w:rsidP="00D81FA1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0239A81F" w14:textId="77777777" w:rsidR="009878A0" w:rsidRDefault="009878A0" w:rsidP="00D81FA1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4566D1BF" w14:textId="1A030DEB" w:rsidR="00AA4B3F" w:rsidRPr="009878A0" w:rsidRDefault="00AA4B3F" w:rsidP="00D81FA1">
      <w:pPr>
        <w:pStyle w:val="Sinespaciado"/>
        <w:jc w:val="both"/>
        <w:rPr>
          <w:rFonts w:ascii="Century Gothic" w:eastAsia="Microsoft JhengHei" w:hAnsi="Century Gothic" w:cs="Arial"/>
          <w:b/>
          <w:sz w:val="24"/>
          <w:szCs w:val="24"/>
        </w:rPr>
      </w:pPr>
      <w:r w:rsidRPr="009878A0">
        <w:rPr>
          <w:rFonts w:ascii="Century Gothic" w:eastAsia="Microsoft JhengHei" w:hAnsi="Century Gothic" w:cs="Arial"/>
          <w:b/>
          <w:sz w:val="24"/>
          <w:szCs w:val="24"/>
        </w:rPr>
        <w:t>OBJETIVO</w:t>
      </w:r>
    </w:p>
    <w:p w14:paraId="1489681A" w14:textId="77777777" w:rsidR="0098152F" w:rsidRPr="009878A0" w:rsidRDefault="0098152F" w:rsidP="00D81FA1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766B6D82" w14:textId="74C47589" w:rsidR="0098152F" w:rsidRPr="009878A0" w:rsidRDefault="0098152F" w:rsidP="009878A0">
      <w:pPr>
        <w:pStyle w:val="Sinespaciado"/>
        <w:numPr>
          <w:ilvl w:val="0"/>
          <w:numId w:val="6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Implementar los mecanismos internos que prevengan actos u omisiones que pudieran constituir responsabilidades administrativas, en los términos establecidos por el Sistema Nacional Anticorrupción, efectuando de manera sistemática la revisión del ingreso, egreso, manejo, custodia y aplicación recursos públicos municipales, según corresponda en el ámbito de su competencia, y efectuar las investigaciones tendientes a sancionar las acciones del servidor público en el desempeño de su función.</w:t>
      </w:r>
    </w:p>
    <w:p w14:paraId="1254F9AF" w14:textId="77777777" w:rsidR="0098152F" w:rsidRPr="009878A0" w:rsidRDefault="0098152F" w:rsidP="00D81FA1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3BB2A88F" w14:textId="77777777" w:rsidR="009878A0" w:rsidRDefault="009878A0" w:rsidP="00D81FA1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60FB5FF3" w14:textId="2FBB337A" w:rsidR="00922E08" w:rsidRPr="009878A0" w:rsidRDefault="0098152F" w:rsidP="00D81FA1">
      <w:pPr>
        <w:pStyle w:val="Sinespaciado"/>
        <w:jc w:val="both"/>
        <w:rPr>
          <w:rFonts w:ascii="Century Gothic" w:eastAsia="Microsoft JhengHei" w:hAnsi="Century Gothic" w:cs="Arial"/>
          <w:b/>
          <w:sz w:val="24"/>
          <w:szCs w:val="24"/>
        </w:rPr>
      </w:pPr>
      <w:r w:rsidRPr="009878A0">
        <w:rPr>
          <w:rFonts w:ascii="Century Gothic" w:eastAsia="Microsoft JhengHei" w:hAnsi="Century Gothic" w:cs="Arial"/>
          <w:b/>
          <w:sz w:val="24"/>
          <w:szCs w:val="24"/>
        </w:rPr>
        <w:t>ESTRATEGIAS Y LINEAS DE ACCION</w:t>
      </w:r>
    </w:p>
    <w:p w14:paraId="269CE204" w14:textId="77777777" w:rsidR="00922E08" w:rsidRPr="009878A0" w:rsidRDefault="00922E08" w:rsidP="00D81FA1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6B978D24" w14:textId="77777777" w:rsidR="00213BF2" w:rsidRPr="009878A0" w:rsidRDefault="00213BF2" w:rsidP="009878A0">
      <w:pPr>
        <w:pStyle w:val="Sinespaciado"/>
        <w:numPr>
          <w:ilvl w:val="0"/>
          <w:numId w:val="7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Armonizar la regulación municipal con la Ley General de Responsabilidades y la Ley de Responsabilidad Política y Administrativa del Estado de Jalisco, con la única intención de darle rumbo legal y asegurar, mediante el ejercicio de las facultades y obligaciones 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lastRenderedPageBreak/>
        <w:t>conferidas por los ordenamientos legales mencionados,</w:t>
      </w:r>
      <w:r w:rsidR="002E3D79" w:rsidRPr="009878A0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que las funciones de las diferentes dependencia y entidades de la Administración</w:t>
      </w:r>
      <w:r w:rsidR="002E3D79" w:rsidRPr="009878A0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Pública Municipal, al igual que la obra pública que emprenda, se apeguen a la</w:t>
      </w:r>
      <w:r w:rsidR="002E3D79" w:rsidRPr="009878A0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normatividad, programas, procedimientos y presupuestos establecidos, a fin de</w:t>
      </w:r>
      <w:r w:rsidR="002E3D79" w:rsidRPr="009878A0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lograr una mayor transparencia en las acciones que estas emprenden de acuerdo a</w:t>
      </w:r>
      <w:r w:rsidR="002E3D79" w:rsidRPr="009878A0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sus atribuciones</w:t>
      </w:r>
    </w:p>
    <w:p w14:paraId="300E882E" w14:textId="77777777" w:rsidR="002E3D79" w:rsidRPr="009878A0" w:rsidRDefault="002E3D79" w:rsidP="002E3D79">
      <w:pPr>
        <w:pStyle w:val="Sinespaciado"/>
        <w:ind w:left="720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388B07FB" w14:textId="77777777" w:rsidR="001E4423" w:rsidRPr="009878A0" w:rsidRDefault="002E3D79" w:rsidP="009878A0">
      <w:pPr>
        <w:pStyle w:val="Sinespaciado"/>
        <w:numPr>
          <w:ilvl w:val="0"/>
          <w:numId w:val="7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Implementación de la plataforma “</w:t>
      </w:r>
      <w:r w:rsidRPr="009878A0">
        <w:rPr>
          <w:rFonts w:ascii="Microsoft JhengHei" w:eastAsia="Microsoft JhengHei" w:hAnsi="Microsoft JhengHei" w:cs="Arial"/>
          <w:b/>
          <w:sz w:val="24"/>
          <w:szCs w:val="24"/>
        </w:rPr>
        <w:t>SiDeclara”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para que esta herramienta digital logre ser el canal receptor y de resguardo en las declaraciones patrimoniales y de interés de funcionarios y servidores públicos, en sus tres vertientes, inicial, de modificación y final, así como apoyar en capacitación y asesoría para su adecuado uso y desarrollo.</w:t>
      </w:r>
    </w:p>
    <w:p w14:paraId="48BDF5A9" w14:textId="77777777" w:rsidR="00E6300F" w:rsidRPr="009878A0" w:rsidRDefault="00E6300F" w:rsidP="00E6300F">
      <w:pPr>
        <w:pStyle w:val="Prrafodelista"/>
        <w:rPr>
          <w:rFonts w:ascii="Microsoft JhengHei" w:eastAsia="Microsoft JhengHei" w:hAnsi="Microsoft JhengHei" w:cs="Arial"/>
          <w:sz w:val="24"/>
          <w:szCs w:val="24"/>
        </w:rPr>
      </w:pPr>
    </w:p>
    <w:p w14:paraId="7AEB1CFE" w14:textId="6014587E" w:rsidR="00E6300F" w:rsidRPr="009878A0" w:rsidRDefault="00E6300F" w:rsidP="009878A0">
      <w:pPr>
        <w:pStyle w:val="Sinespaciado"/>
        <w:numPr>
          <w:ilvl w:val="0"/>
          <w:numId w:val="7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Creación de puntos de atención ciudadana para la recepción de quejas, denuncias o agradecimientos derivados del ejercicio de la función pública, atreves de </w:t>
      </w:r>
      <w:r w:rsidRPr="009878A0">
        <w:rPr>
          <w:rFonts w:ascii="Microsoft JhengHei" w:eastAsia="Microsoft JhengHei" w:hAnsi="Microsoft JhengHei" w:cs="Arial"/>
          <w:b/>
          <w:sz w:val="24"/>
          <w:szCs w:val="24"/>
        </w:rPr>
        <w:t>“BUZON CIUDADANO”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de manera física en el interior de palacio municipal y unidades administras externas, también de manera digital en la página de gobierno </w:t>
      </w:r>
      <w:hyperlink r:id="rId7" w:history="1">
        <w:r w:rsidRPr="009878A0">
          <w:rPr>
            <w:rStyle w:val="Hipervnculo"/>
            <w:rFonts w:ascii="Microsoft JhengHei" w:eastAsia="Microsoft JhengHei" w:hAnsi="Microsoft JhengHei" w:cs="Arial"/>
            <w:sz w:val="24"/>
            <w:szCs w:val="24"/>
          </w:rPr>
          <w:t>www.ayuntamientogomezfarias.gob.mx/buzonciudadano</w:t>
        </w:r>
      </w:hyperlink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así como mediante línea telefónica especifica de </w:t>
      </w:r>
      <w:proofErr w:type="spellStart"/>
      <w:r w:rsidRPr="009878A0">
        <w:rPr>
          <w:rFonts w:ascii="Microsoft JhengHei" w:eastAsia="Microsoft JhengHei" w:hAnsi="Microsoft JhengHei" w:cs="Arial"/>
          <w:sz w:val="24"/>
          <w:szCs w:val="24"/>
        </w:rPr>
        <w:t>servitel</w:t>
      </w:r>
      <w:proofErr w:type="spellEnd"/>
      <w:r w:rsidRPr="009878A0">
        <w:rPr>
          <w:rFonts w:ascii="Microsoft JhengHei" w:eastAsia="Microsoft JhengHei" w:hAnsi="Microsoft JhengHei" w:cs="Arial"/>
          <w:sz w:val="24"/>
          <w:szCs w:val="24"/>
        </w:rPr>
        <w:t>.</w:t>
      </w:r>
    </w:p>
    <w:p w14:paraId="28C44159" w14:textId="77777777" w:rsidR="00E6300F" w:rsidRPr="009878A0" w:rsidRDefault="00E6300F" w:rsidP="00E6300F">
      <w:pPr>
        <w:pStyle w:val="Sinespaciado"/>
        <w:ind w:left="720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0C0BBD97" w14:textId="77777777" w:rsidR="0088717C" w:rsidRPr="009878A0" w:rsidRDefault="00E6300F" w:rsidP="009878A0">
      <w:pPr>
        <w:pStyle w:val="Sinespaciado"/>
        <w:numPr>
          <w:ilvl w:val="0"/>
          <w:numId w:val="8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Expedir </w:t>
      </w:r>
      <w:r w:rsidR="0088717C" w:rsidRPr="009878A0">
        <w:rPr>
          <w:rFonts w:ascii="Microsoft JhengHei" w:eastAsia="Microsoft JhengHei" w:hAnsi="Microsoft JhengHei" w:cs="Arial"/>
          <w:sz w:val="24"/>
          <w:szCs w:val="24"/>
        </w:rPr>
        <w:t>los manuales, formatos de acta,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="0088717C" w:rsidRPr="009878A0">
        <w:rPr>
          <w:rFonts w:ascii="Microsoft JhengHei" w:eastAsia="Microsoft JhengHei" w:hAnsi="Microsoft JhengHei" w:cs="Arial"/>
          <w:sz w:val="24"/>
          <w:szCs w:val="24"/>
        </w:rPr>
        <w:t>a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demás formatos necesarios de entrega-recepción de la administración pública, cuando menos con seis meses de anticipación a la fecha de terminación del encargo</w:t>
      </w:r>
      <w:r w:rsidR="0088717C" w:rsidRPr="009878A0">
        <w:rPr>
          <w:rFonts w:ascii="Microsoft JhengHei" w:eastAsia="Microsoft JhengHei" w:hAnsi="Microsoft JhengHei" w:cs="Arial"/>
          <w:sz w:val="24"/>
          <w:szCs w:val="24"/>
        </w:rPr>
        <w:t>, auxiliar a los servidores públicos sujetos a esta y en el procedimiento de entrega-recepción, Coordinar la instrumentación de la entrega-recepción, revisar y supervisar el cumplimento del procedimiento de entrega-recepción; y fincar, en su caso, las responsabilidades que correspondan.</w:t>
      </w:r>
    </w:p>
    <w:p w14:paraId="3974FD8F" w14:textId="77777777" w:rsidR="0088717C" w:rsidRPr="009878A0" w:rsidRDefault="0088717C" w:rsidP="0088717C">
      <w:pPr>
        <w:pStyle w:val="Sinespaciado"/>
        <w:ind w:left="720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58301729" w14:textId="77777777" w:rsidR="0088717C" w:rsidRPr="009878A0" w:rsidRDefault="0088717C" w:rsidP="009878A0">
      <w:pPr>
        <w:pStyle w:val="Prrafodelista"/>
        <w:numPr>
          <w:ilvl w:val="0"/>
          <w:numId w:val="9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lastRenderedPageBreak/>
        <w:t>Iniciar y llevar los procedimientos de responsabilidades que se deduzcan en el proceso de auditoría que se lleven a cabo en los términos de la ley en la materia; coadyuvar con la Auditoría Superior en sus funciones de fiscalización superior.</w:t>
      </w:r>
    </w:p>
    <w:p w14:paraId="47F57349" w14:textId="77777777" w:rsidR="00E6300F" w:rsidRPr="009878A0" w:rsidRDefault="00E6300F" w:rsidP="009878A0">
      <w:pPr>
        <w:pStyle w:val="Sinespaciado"/>
        <w:numPr>
          <w:ilvl w:val="0"/>
          <w:numId w:val="9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</w:t>
      </w:r>
      <w:r w:rsidR="0088717C" w:rsidRPr="009878A0">
        <w:rPr>
          <w:rFonts w:ascii="Microsoft JhengHei" w:eastAsia="Microsoft JhengHei" w:hAnsi="Microsoft JhengHei" w:cs="Arial"/>
          <w:sz w:val="24"/>
          <w:szCs w:val="24"/>
        </w:rPr>
        <w:t>Aplicación de auditorías internas simultáneas o posteriores a los ejercicios fiscales que corresponda y dar cuenta detallada de las mismas a la Auditoría Superior para su conocimiento o en su caso, intervención;</w:t>
      </w:r>
    </w:p>
    <w:p w14:paraId="2E5486DF" w14:textId="77777777" w:rsidR="00195B0B" w:rsidRPr="009878A0" w:rsidRDefault="00195B0B" w:rsidP="00195B0B">
      <w:pPr>
        <w:pStyle w:val="Sinespaciado"/>
        <w:ind w:left="720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7BC6DA32" w14:textId="77777777" w:rsidR="00195B0B" w:rsidRPr="009878A0" w:rsidRDefault="00195B0B" w:rsidP="009878A0">
      <w:pPr>
        <w:pStyle w:val="Sinespaciado"/>
        <w:numPr>
          <w:ilvl w:val="0"/>
          <w:numId w:val="9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Practicar de oficio, por denuncia o derivado de </w:t>
      </w:r>
      <w:r w:rsidR="00F9181D" w:rsidRPr="009878A0">
        <w:rPr>
          <w:rFonts w:ascii="Microsoft JhengHei" w:eastAsia="Microsoft JhengHei" w:hAnsi="Microsoft JhengHei" w:cs="Arial"/>
          <w:sz w:val="24"/>
          <w:szCs w:val="24"/>
        </w:rPr>
        <w:t>auditorías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practicadas por las autoridades competentes, las investigaciones por posibles actos u omisiones que pudieran constituir Faltas Administrativas por parte de los Servidores Públicos o de los Particulares por conductas sancionables, en términos de la Ley General de Responsabilidades, así́ como informar a dicha unidad administrativa sobre el estado que guarde la tramitaci</w:t>
      </w:r>
      <w:r w:rsidRPr="009878A0">
        <w:rPr>
          <w:rFonts w:ascii="Microsoft JhengHei" w:eastAsia="Microsoft JhengHei" w:hAnsi="Microsoft JhengHei" w:cs="Microsoft JhengHei" w:hint="eastAsia"/>
          <w:sz w:val="24"/>
          <w:szCs w:val="24"/>
        </w:rPr>
        <w:t>ó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n de los procedimientos de investigaci</w:t>
      </w:r>
      <w:r w:rsidRPr="009878A0">
        <w:rPr>
          <w:rFonts w:ascii="Microsoft JhengHei" w:eastAsia="Microsoft JhengHei" w:hAnsi="Microsoft JhengHei" w:cs="Microsoft JhengHei" w:hint="eastAsia"/>
          <w:sz w:val="24"/>
          <w:szCs w:val="24"/>
        </w:rPr>
        <w:t>ó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>n que conozca.</w:t>
      </w:r>
    </w:p>
    <w:p w14:paraId="16ADB16B" w14:textId="77777777" w:rsidR="00195B0B" w:rsidRPr="009878A0" w:rsidRDefault="00195B0B" w:rsidP="00195B0B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207C1616" w14:textId="77777777" w:rsidR="00DE4BAC" w:rsidRPr="009878A0" w:rsidRDefault="00DE4BAC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53681705" w14:textId="77777777" w:rsidR="00DE4BAC" w:rsidRPr="009878A0" w:rsidRDefault="00DE4BAC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5B47EA2A" w14:textId="77777777" w:rsidR="00DE4BAC" w:rsidRPr="009878A0" w:rsidRDefault="00DE4BAC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70EF34CE" w14:textId="77777777" w:rsidR="00DE4BAC" w:rsidRPr="009878A0" w:rsidRDefault="00DE4BAC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23C9C417" w14:textId="77777777" w:rsidR="00DE4BAC" w:rsidRPr="009878A0" w:rsidRDefault="00DE4BAC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0E746693" w14:textId="77777777" w:rsidR="00DE4BAC" w:rsidRPr="009878A0" w:rsidRDefault="00DE4BAC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05560D00" w14:textId="200A2F1B" w:rsidR="00DE4BAC" w:rsidRDefault="00DE4BAC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41BDF2F4" w14:textId="77777777" w:rsidR="009878A0" w:rsidRPr="009878A0" w:rsidRDefault="009878A0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513D5ADE" w14:textId="77777777" w:rsidR="00DE4BAC" w:rsidRPr="009878A0" w:rsidRDefault="00DE4BAC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39D3D462" w14:textId="77777777" w:rsidR="00DE4BAC" w:rsidRPr="009878A0" w:rsidRDefault="00DE4BAC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1A4B72DE" w14:textId="667A1839" w:rsidR="00195B0B" w:rsidRPr="009878A0" w:rsidRDefault="00195B0B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771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114"/>
        <w:gridCol w:w="3402"/>
        <w:gridCol w:w="2312"/>
      </w:tblGrid>
      <w:tr w:rsidR="009878A0" w:rsidRPr="009878A0" w14:paraId="2D0D4C65" w14:textId="77777777" w:rsidTr="009878A0">
        <w:tc>
          <w:tcPr>
            <w:tcW w:w="8828" w:type="dxa"/>
            <w:gridSpan w:val="3"/>
            <w:shd w:val="clear" w:color="auto" w:fill="808000"/>
          </w:tcPr>
          <w:p w14:paraId="7E65A6EA" w14:textId="77777777" w:rsidR="009878A0" w:rsidRPr="009878A0" w:rsidRDefault="009878A0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color w:val="FFFFFF" w:themeColor="background1"/>
                <w:sz w:val="24"/>
                <w:szCs w:val="24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TABLA DE ALINEACIÓN DE OBJETIVOS </w:t>
            </w: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4"/>
                <w:szCs w:val="24"/>
              </w:rPr>
              <w:t xml:space="preserve">CON </w:t>
            </w:r>
          </w:p>
          <w:p w14:paraId="0EA00C87" w14:textId="1D4BC232" w:rsidR="009878A0" w:rsidRPr="009878A0" w:rsidRDefault="009878A0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sz w:val="24"/>
                <w:szCs w:val="24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4"/>
                <w:szCs w:val="24"/>
              </w:rPr>
              <w:t>OTROS INSTRUMENTOS DE PLANEACION</w:t>
            </w:r>
          </w:p>
        </w:tc>
      </w:tr>
      <w:tr w:rsidR="009878A0" w:rsidRPr="009878A0" w14:paraId="154878EB" w14:textId="77777777" w:rsidTr="009878A0">
        <w:tc>
          <w:tcPr>
            <w:tcW w:w="3114" w:type="dxa"/>
            <w:shd w:val="clear" w:color="auto" w:fill="595959" w:themeFill="text1" w:themeFillTint="A6"/>
            <w:vAlign w:val="center"/>
          </w:tcPr>
          <w:p w14:paraId="5B8274DB" w14:textId="77777777" w:rsidR="00195B0B" w:rsidRPr="009878A0" w:rsidRDefault="00195B0B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>OBJETIVOS PLAN DE DESARROLLO MUNICIPAL.</w:t>
            </w:r>
          </w:p>
        </w:tc>
        <w:tc>
          <w:tcPr>
            <w:tcW w:w="3402" w:type="dxa"/>
            <w:shd w:val="clear" w:color="auto" w:fill="595959" w:themeFill="text1" w:themeFillTint="A6"/>
            <w:vAlign w:val="center"/>
          </w:tcPr>
          <w:p w14:paraId="36C9D6F7" w14:textId="77777777" w:rsidR="00195B0B" w:rsidRPr="009878A0" w:rsidRDefault="00195B0B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>OBJETIVOS PLAN DE DESARROLLO ESTATAL</w:t>
            </w:r>
          </w:p>
        </w:tc>
        <w:tc>
          <w:tcPr>
            <w:tcW w:w="2312" w:type="dxa"/>
            <w:shd w:val="clear" w:color="auto" w:fill="595959" w:themeFill="text1" w:themeFillTint="A6"/>
            <w:vAlign w:val="center"/>
          </w:tcPr>
          <w:p w14:paraId="7848A0A9" w14:textId="77777777" w:rsidR="00195B0B" w:rsidRPr="009878A0" w:rsidRDefault="00195B0B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>OBJETIVOS DE PLAN NACIONAL DE DESARROLLO</w:t>
            </w:r>
          </w:p>
        </w:tc>
      </w:tr>
      <w:tr w:rsidR="00195B0B" w:rsidRPr="009878A0" w14:paraId="0566B101" w14:textId="77777777" w:rsidTr="009878A0">
        <w:tc>
          <w:tcPr>
            <w:tcW w:w="3114" w:type="dxa"/>
            <w:shd w:val="clear" w:color="auto" w:fill="7F7F7F" w:themeFill="text1" w:themeFillTint="80"/>
          </w:tcPr>
          <w:p w14:paraId="18539D39" w14:textId="77777777" w:rsidR="00195B0B" w:rsidRPr="009878A0" w:rsidRDefault="00195B0B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>O</w:t>
            </w:r>
            <w:r w:rsidR="00EE279F"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>D</w:t>
            </w: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>M</w:t>
            </w: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 xml:space="preserve"> Implementar los mecanismos internos que prevengan actos u omisiones que pudieran constituir responsabilidades administrativas, en los términos establecidos por el Sistema Nacional Anticorrupción, efectuando de manera sistemática la revisión del ingreso, egreso, manejo, custodia y aplicación recursos públicos municipales, según corresponda en el ámbito de su competencia, y efectuar las investigaciones tendientes a sancionar las acciones del servidor público en el desempeño de su función.</w:t>
            </w:r>
          </w:p>
          <w:p w14:paraId="5AC362FB" w14:textId="77777777" w:rsidR="00195B0B" w:rsidRPr="009878A0" w:rsidRDefault="00195B0B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7F7F7F" w:themeFill="text1" w:themeFillTint="80"/>
          </w:tcPr>
          <w:p w14:paraId="14B917C5" w14:textId="77777777" w:rsidR="00EE279F" w:rsidRPr="009878A0" w:rsidRDefault="00EE279F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>Objetivo temático narrativo</w:t>
            </w:r>
          </w:p>
          <w:p w14:paraId="1BD19937" w14:textId="77777777" w:rsidR="00EE279F" w:rsidRPr="009878A0" w:rsidRDefault="00EE279F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</w:p>
          <w:p w14:paraId="52EF92BE" w14:textId="25EAC935" w:rsidR="00195B0B" w:rsidRPr="009878A0" w:rsidRDefault="00EE279F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>ODE</w:t>
            </w:r>
            <w:r w:rsidR="009E1765"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F7886" w:rsidRPr="009878A0">
              <w:rPr>
                <w:rFonts w:ascii="Microsoft JhengHei" w:eastAsia="Microsoft JhengHei" w:hAnsi="Microsoft JhengHei"/>
                <w:color w:val="FFFFFF" w:themeColor="background1"/>
                <w:sz w:val="20"/>
                <w:szCs w:val="20"/>
              </w:rPr>
              <w:t>Aumentar la eficiencia en la administración de los recursos económicos y humanos de los organismos gubernamentales a través de un de un gobierno íntegro, respetuoso de los principios y normas éticas que da prioridad a los intereses públicos por encima de los intereses privados, mediante la operación de un si</w:t>
            </w:r>
            <w:r w:rsidRPr="009878A0">
              <w:rPr>
                <w:rFonts w:ascii="Microsoft JhengHei" w:eastAsia="Microsoft JhengHei" w:hAnsi="Microsoft JhengHei"/>
                <w:color w:val="FFFFFF" w:themeColor="background1"/>
                <w:sz w:val="20"/>
                <w:szCs w:val="20"/>
              </w:rPr>
              <w:t>stema transparente, técnico y efi</w:t>
            </w:r>
            <w:r w:rsidR="00EF7886" w:rsidRPr="009878A0">
              <w:rPr>
                <w:rFonts w:ascii="Microsoft JhengHei" w:eastAsia="Microsoft JhengHei" w:hAnsi="Microsoft JhengHei"/>
                <w:color w:val="FFFFFF" w:themeColor="background1"/>
                <w:sz w:val="20"/>
                <w:szCs w:val="20"/>
              </w:rPr>
              <w:t>caz de control interno que previene, vigila y audita al cumplimiento de normas y estándares de integridad, así como en el monitoreo de los mecanismos de denuncia.</w:t>
            </w:r>
          </w:p>
        </w:tc>
        <w:tc>
          <w:tcPr>
            <w:tcW w:w="2312" w:type="dxa"/>
            <w:shd w:val="clear" w:color="auto" w:fill="7F7F7F" w:themeFill="text1" w:themeFillTint="80"/>
          </w:tcPr>
          <w:p w14:paraId="4BDD72F7" w14:textId="77777777" w:rsidR="00EE279F" w:rsidRPr="009878A0" w:rsidRDefault="00EE279F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</w:p>
          <w:p w14:paraId="099055CF" w14:textId="77777777" w:rsidR="00EE279F" w:rsidRPr="009878A0" w:rsidRDefault="00EE279F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 xml:space="preserve">Objetivo 1.1 </w:t>
            </w: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Fortalecer la gobernabilidad democrática</w:t>
            </w:r>
          </w:p>
          <w:p w14:paraId="0138A525" w14:textId="77777777" w:rsidR="00EE279F" w:rsidRPr="009878A0" w:rsidRDefault="00EE279F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</w:p>
          <w:p w14:paraId="75241FBB" w14:textId="77777777" w:rsidR="00EE279F" w:rsidRPr="009878A0" w:rsidRDefault="00EE279F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</w:p>
          <w:p w14:paraId="05E237FB" w14:textId="77777777" w:rsidR="00EE279F" w:rsidRPr="009878A0" w:rsidRDefault="00EE279F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 xml:space="preserve">Objetivo 1.8 </w:t>
            </w: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Mejorar la capacidad de prevenir y combatir de manera efectiva la corrupción y la impunidad</w:t>
            </w:r>
          </w:p>
          <w:p w14:paraId="528A5E8A" w14:textId="77777777" w:rsidR="00EE279F" w:rsidRPr="009878A0" w:rsidRDefault="00EE279F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</w:p>
          <w:p w14:paraId="2159C37A" w14:textId="77777777" w:rsidR="00187254" w:rsidRPr="009878A0" w:rsidRDefault="00EE279F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  <w:t xml:space="preserve">Eje transversal 2. </w:t>
            </w: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Combate a la corrupción y mejora de la gestión pública</w:t>
            </w:r>
          </w:p>
          <w:p w14:paraId="0BACF604" w14:textId="77777777" w:rsidR="00195B0B" w:rsidRPr="009878A0" w:rsidRDefault="00195B0B" w:rsidP="009878A0">
            <w:pPr>
              <w:pStyle w:val="Sinespaciado"/>
              <w:jc w:val="both"/>
              <w:rPr>
                <w:rFonts w:ascii="Microsoft JhengHei" w:eastAsia="Microsoft JhengHei" w:hAnsi="Microsoft JhengHei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4FA113A8" w14:textId="77777777" w:rsidR="00195B0B" w:rsidRPr="009878A0" w:rsidRDefault="00195B0B" w:rsidP="00195B0B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786C5697" w14:textId="77777777" w:rsidR="00DE4BAC" w:rsidRPr="009878A0" w:rsidRDefault="00DE4BAC" w:rsidP="00D81FA1">
      <w:pPr>
        <w:pStyle w:val="Sinespaciado"/>
        <w:jc w:val="both"/>
        <w:rPr>
          <w:rFonts w:ascii="Microsoft JhengHei" w:eastAsia="Microsoft JhengHei" w:hAnsi="Microsoft JhengHei" w:cs="Arial"/>
          <w:b/>
          <w:color w:val="000000" w:themeColor="text1"/>
          <w:sz w:val="24"/>
          <w:szCs w:val="24"/>
        </w:rPr>
      </w:pPr>
    </w:p>
    <w:p w14:paraId="01DA949C" w14:textId="77777777" w:rsidR="009878A0" w:rsidRDefault="009878A0" w:rsidP="009878A0">
      <w:pPr>
        <w:pStyle w:val="Sinespaciado"/>
        <w:jc w:val="center"/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</w:pPr>
    </w:p>
    <w:p w14:paraId="13FC24FB" w14:textId="77777777" w:rsidR="009878A0" w:rsidRDefault="009878A0" w:rsidP="009878A0">
      <w:pPr>
        <w:pStyle w:val="Sinespaciado"/>
        <w:jc w:val="center"/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</w:pPr>
    </w:p>
    <w:p w14:paraId="27411FEC" w14:textId="77777777" w:rsidR="009878A0" w:rsidRDefault="009878A0" w:rsidP="009878A0">
      <w:pPr>
        <w:pStyle w:val="Sinespaciado"/>
        <w:jc w:val="center"/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</w:pPr>
    </w:p>
    <w:p w14:paraId="2900A028" w14:textId="77777777" w:rsidR="009878A0" w:rsidRDefault="009878A0" w:rsidP="009878A0">
      <w:pPr>
        <w:pStyle w:val="Sinespaciado"/>
        <w:jc w:val="center"/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</w:pPr>
    </w:p>
    <w:p w14:paraId="41BE676C" w14:textId="77777777" w:rsidR="009878A0" w:rsidRDefault="009878A0" w:rsidP="009878A0">
      <w:pPr>
        <w:pStyle w:val="Sinespaciado"/>
        <w:jc w:val="center"/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</w:pPr>
    </w:p>
    <w:p w14:paraId="4B28C958" w14:textId="77777777" w:rsidR="009878A0" w:rsidRDefault="009878A0" w:rsidP="009878A0">
      <w:pPr>
        <w:pStyle w:val="Sinespaciado"/>
        <w:jc w:val="center"/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</w:pPr>
    </w:p>
    <w:p w14:paraId="68AC7DFF" w14:textId="77777777" w:rsidR="009878A0" w:rsidRDefault="009878A0" w:rsidP="009878A0">
      <w:pPr>
        <w:pStyle w:val="Sinespaciado"/>
        <w:jc w:val="center"/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</w:pPr>
    </w:p>
    <w:p w14:paraId="6F42C461" w14:textId="76C1176C" w:rsidR="00D81FA1" w:rsidRPr="009878A0" w:rsidRDefault="00195B0B" w:rsidP="009878A0">
      <w:pPr>
        <w:pStyle w:val="Sinespaciado"/>
        <w:jc w:val="center"/>
        <w:rPr>
          <w:rFonts w:ascii="Microsoft JhengHei" w:eastAsia="Microsoft JhengHei" w:hAnsi="Microsoft JhengHei" w:cs="Arial"/>
          <w:b/>
          <w:color w:val="000000" w:themeColor="text1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b/>
          <w:color w:val="FFFFFF" w:themeColor="background1"/>
          <w:sz w:val="24"/>
          <w:szCs w:val="24"/>
        </w:rPr>
        <w:lastRenderedPageBreak/>
        <w:t>TABLA DE INDICADORES</w:t>
      </w:r>
    </w:p>
    <w:p w14:paraId="6F74C23C" w14:textId="77777777" w:rsidR="00195B0B" w:rsidRPr="009878A0" w:rsidRDefault="00195B0B" w:rsidP="00D81FA1">
      <w:pPr>
        <w:pStyle w:val="Sinespaciado"/>
        <w:jc w:val="both"/>
        <w:rPr>
          <w:rFonts w:ascii="Microsoft JhengHei" w:eastAsia="Microsoft JhengHei" w:hAnsi="Microsoft JhengHei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611"/>
        <w:gridCol w:w="1446"/>
        <w:gridCol w:w="1441"/>
        <w:gridCol w:w="1407"/>
        <w:gridCol w:w="1408"/>
        <w:gridCol w:w="1515"/>
      </w:tblGrid>
      <w:tr w:rsidR="002F4152" w:rsidRPr="009878A0" w14:paraId="375A639D" w14:textId="77777777" w:rsidTr="009878A0">
        <w:tc>
          <w:tcPr>
            <w:tcW w:w="1471" w:type="dxa"/>
            <w:shd w:val="clear" w:color="auto" w:fill="808000"/>
          </w:tcPr>
          <w:p w14:paraId="6D4C6185" w14:textId="77777777" w:rsidR="002F4152" w:rsidRPr="009878A0" w:rsidRDefault="002F4152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1471" w:type="dxa"/>
            <w:shd w:val="clear" w:color="auto" w:fill="808000"/>
          </w:tcPr>
          <w:p w14:paraId="2646108C" w14:textId="77777777" w:rsidR="002F4152" w:rsidRPr="009878A0" w:rsidRDefault="002F4152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471" w:type="dxa"/>
            <w:shd w:val="clear" w:color="auto" w:fill="808000"/>
          </w:tcPr>
          <w:p w14:paraId="68F58D9E" w14:textId="77777777" w:rsidR="002F4152" w:rsidRPr="009878A0" w:rsidRDefault="002F4152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  <w:t>Fuente</w:t>
            </w:r>
          </w:p>
        </w:tc>
        <w:tc>
          <w:tcPr>
            <w:tcW w:w="1471" w:type="dxa"/>
            <w:shd w:val="clear" w:color="auto" w:fill="808000"/>
          </w:tcPr>
          <w:p w14:paraId="2F46E088" w14:textId="77777777" w:rsidR="002F4152" w:rsidRPr="009878A0" w:rsidRDefault="002F4152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  <w:t>Línea base</w:t>
            </w:r>
          </w:p>
          <w:p w14:paraId="4D209E18" w14:textId="77777777" w:rsidR="002F4152" w:rsidRPr="009878A0" w:rsidRDefault="002F4152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  <w:t>2018-2021</w:t>
            </w:r>
          </w:p>
        </w:tc>
        <w:tc>
          <w:tcPr>
            <w:tcW w:w="1472" w:type="dxa"/>
            <w:shd w:val="clear" w:color="auto" w:fill="808000"/>
          </w:tcPr>
          <w:p w14:paraId="0DE0783C" w14:textId="77777777" w:rsidR="009878A0" w:rsidRDefault="009878A0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  <w:t xml:space="preserve">Meta </w:t>
            </w:r>
          </w:p>
          <w:p w14:paraId="775DCCA4" w14:textId="4B36BC3E" w:rsidR="002F4152" w:rsidRPr="009878A0" w:rsidRDefault="009878A0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  <w:t>2021</w:t>
            </w:r>
            <w:r w:rsidR="002F4152" w:rsidRPr="009878A0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  <w:t>-2024</w:t>
            </w:r>
          </w:p>
        </w:tc>
        <w:tc>
          <w:tcPr>
            <w:tcW w:w="1472" w:type="dxa"/>
            <w:shd w:val="clear" w:color="auto" w:fill="808000"/>
          </w:tcPr>
          <w:p w14:paraId="6480AC2F" w14:textId="77777777" w:rsidR="002F4152" w:rsidRPr="009878A0" w:rsidRDefault="002F4152" w:rsidP="009878A0">
            <w:pPr>
              <w:pStyle w:val="Sinespaciado"/>
              <w:jc w:val="center"/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b/>
                <w:bCs/>
                <w:color w:val="FFFFFF" w:themeColor="background1"/>
                <w:sz w:val="20"/>
                <w:szCs w:val="20"/>
              </w:rPr>
              <w:t>Tendencia</w:t>
            </w:r>
          </w:p>
        </w:tc>
      </w:tr>
      <w:tr w:rsidR="002F4152" w:rsidRPr="009878A0" w14:paraId="3CA8A94B" w14:textId="77777777" w:rsidTr="009878A0">
        <w:tc>
          <w:tcPr>
            <w:tcW w:w="1471" w:type="dxa"/>
            <w:shd w:val="clear" w:color="auto" w:fill="7F7F7F" w:themeFill="text1" w:themeFillTint="80"/>
          </w:tcPr>
          <w:p w14:paraId="21AC3E07" w14:textId="77777777" w:rsidR="002F4152" w:rsidRPr="009878A0" w:rsidRDefault="00DE4BAC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Auditorías a la administración pública municipal</w:t>
            </w:r>
          </w:p>
          <w:p w14:paraId="67D44AAA" w14:textId="77777777" w:rsidR="00DE4BAC" w:rsidRPr="009878A0" w:rsidRDefault="00DE4BAC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7F7F7F" w:themeFill="text1" w:themeFillTint="80"/>
          </w:tcPr>
          <w:p w14:paraId="56413778" w14:textId="77777777" w:rsidR="002F4152" w:rsidRPr="009878A0" w:rsidRDefault="002F4152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1EF9DD06" w14:textId="77777777" w:rsidR="00DE4BAC" w:rsidRPr="009878A0" w:rsidRDefault="00DE4BAC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72A0EE44" w14:textId="77777777" w:rsidR="00DE4BAC" w:rsidRPr="009878A0" w:rsidRDefault="00DE4BAC" w:rsidP="00DE4BAC">
            <w:pPr>
              <w:pStyle w:val="Sinespaciad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Auditorias</w:t>
            </w:r>
          </w:p>
        </w:tc>
        <w:tc>
          <w:tcPr>
            <w:tcW w:w="1471" w:type="dxa"/>
            <w:shd w:val="clear" w:color="auto" w:fill="7F7F7F" w:themeFill="text1" w:themeFillTint="80"/>
          </w:tcPr>
          <w:p w14:paraId="22E1A4A9" w14:textId="77777777" w:rsidR="00DE4BAC" w:rsidRPr="009878A0" w:rsidRDefault="00DE4BAC" w:rsidP="00DE4BAC">
            <w:pPr>
              <w:pStyle w:val="Sinespaciad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4576A7E8" w14:textId="77777777" w:rsidR="002F4152" w:rsidRPr="009878A0" w:rsidRDefault="00DE4BAC" w:rsidP="00DE4BAC">
            <w:pPr>
              <w:pStyle w:val="Sinespaciado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Hacienda Municipal y OIC</w:t>
            </w:r>
          </w:p>
        </w:tc>
        <w:tc>
          <w:tcPr>
            <w:tcW w:w="1471" w:type="dxa"/>
            <w:shd w:val="clear" w:color="auto" w:fill="7F7F7F" w:themeFill="text1" w:themeFillTint="80"/>
          </w:tcPr>
          <w:p w14:paraId="7414582E" w14:textId="77777777" w:rsidR="00DE4BAC" w:rsidRPr="009878A0" w:rsidRDefault="00DE4BAC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4B87C1F0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3227FD50" w14:textId="77777777" w:rsidR="002F4152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 xml:space="preserve">      0 </w:t>
            </w:r>
          </w:p>
        </w:tc>
        <w:tc>
          <w:tcPr>
            <w:tcW w:w="1472" w:type="dxa"/>
            <w:shd w:val="clear" w:color="auto" w:fill="7F7F7F" w:themeFill="text1" w:themeFillTint="80"/>
          </w:tcPr>
          <w:p w14:paraId="432DB9D5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4C3EFD11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277F431A" w14:textId="77777777" w:rsidR="002F4152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 xml:space="preserve">      3 </w:t>
            </w:r>
          </w:p>
        </w:tc>
        <w:tc>
          <w:tcPr>
            <w:tcW w:w="1472" w:type="dxa"/>
            <w:shd w:val="clear" w:color="auto" w:fill="7F7F7F" w:themeFill="text1" w:themeFillTint="80"/>
          </w:tcPr>
          <w:p w14:paraId="583E12B0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605FC666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554B1670" w14:textId="77777777" w:rsidR="002F4152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ASCENDENTE</w:t>
            </w:r>
          </w:p>
        </w:tc>
      </w:tr>
      <w:tr w:rsidR="002F4152" w:rsidRPr="009878A0" w14:paraId="2916AB87" w14:textId="77777777" w:rsidTr="009878A0">
        <w:tc>
          <w:tcPr>
            <w:tcW w:w="1471" w:type="dxa"/>
            <w:shd w:val="clear" w:color="auto" w:fill="595959" w:themeFill="text1" w:themeFillTint="A6"/>
          </w:tcPr>
          <w:p w14:paraId="2D737D96" w14:textId="77777777" w:rsidR="002F4152" w:rsidRPr="009878A0" w:rsidRDefault="00DE4BAC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Número de servidores públicos que cumplen con sus obligaciones de rendición de cuentas en tiempo y forma</w:t>
            </w:r>
          </w:p>
          <w:p w14:paraId="42A5A714" w14:textId="77777777" w:rsidR="00DE4BAC" w:rsidRPr="009878A0" w:rsidRDefault="00DE4BAC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595959" w:themeFill="text1" w:themeFillTint="A6"/>
          </w:tcPr>
          <w:p w14:paraId="68077DF5" w14:textId="77777777" w:rsidR="002F4152" w:rsidRPr="009878A0" w:rsidRDefault="002F4152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02781C17" w14:textId="77777777" w:rsidR="00DE4BAC" w:rsidRPr="009878A0" w:rsidRDefault="00DE4BAC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54DA4A0A" w14:textId="77777777" w:rsidR="00DE4BAC" w:rsidRPr="009878A0" w:rsidRDefault="00DE4BAC" w:rsidP="00DE4BAC">
            <w:pPr>
              <w:pStyle w:val="Sinespaciad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55573781" w14:textId="77777777" w:rsidR="00DE4BAC" w:rsidRPr="009878A0" w:rsidRDefault="00DE4BAC" w:rsidP="00DE4BAC">
            <w:pPr>
              <w:pStyle w:val="Sinespaciad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0DF9207D" w14:textId="77777777" w:rsidR="00DE4BAC" w:rsidRPr="009878A0" w:rsidRDefault="00DE4BAC" w:rsidP="00DE4BAC">
            <w:pPr>
              <w:pStyle w:val="Sinespaciad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Servidores Públicos</w:t>
            </w:r>
          </w:p>
        </w:tc>
        <w:tc>
          <w:tcPr>
            <w:tcW w:w="1471" w:type="dxa"/>
            <w:shd w:val="clear" w:color="auto" w:fill="595959" w:themeFill="text1" w:themeFillTint="A6"/>
          </w:tcPr>
          <w:p w14:paraId="29601FF9" w14:textId="77777777" w:rsidR="002F4152" w:rsidRPr="009878A0" w:rsidRDefault="002F4152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67B74EA6" w14:textId="77777777" w:rsidR="00DE4BAC" w:rsidRPr="009878A0" w:rsidRDefault="00DE4BAC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7E51232C" w14:textId="77777777" w:rsidR="00DE4BAC" w:rsidRPr="009878A0" w:rsidRDefault="00DE4BAC" w:rsidP="00DE4BAC">
            <w:pPr>
              <w:pStyle w:val="Sinespaciad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09BF4C45" w14:textId="77777777" w:rsidR="00DE4BAC" w:rsidRPr="009878A0" w:rsidRDefault="00DE4BAC" w:rsidP="00DE4BAC">
            <w:pPr>
              <w:pStyle w:val="Sinespaciad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0ADD9B28" w14:textId="77777777" w:rsidR="00DE4BAC" w:rsidRPr="009878A0" w:rsidRDefault="00DE4BAC" w:rsidP="00DE4BAC">
            <w:pPr>
              <w:pStyle w:val="Sinespaciado"/>
              <w:jc w:val="center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OIC</w:t>
            </w:r>
          </w:p>
        </w:tc>
        <w:tc>
          <w:tcPr>
            <w:tcW w:w="1471" w:type="dxa"/>
            <w:shd w:val="clear" w:color="auto" w:fill="595959" w:themeFill="text1" w:themeFillTint="A6"/>
          </w:tcPr>
          <w:p w14:paraId="729607D3" w14:textId="77777777" w:rsidR="002F4152" w:rsidRPr="009878A0" w:rsidRDefault="002F4152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00B70FA2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09DF7593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5CAE32F6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21E5F34E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 xml:space="preserve">     40</w:t>
            </w:r>
          </w:p>
        </w:tc>
        <w:tc>
          <w:tcPr>
            <w:tcW w:w="1472" w:type="dxa"/>
            <w:shd w:val="clear" w:color="auto" w:fill="595959" w:themeFill="text1" w:themeFillTint="A6"/>
          </w:tcPr>
          <w:p w14:paraId="0DB3B0BC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418FD505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45EBE78C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061ED1AF" w14:textId="77777777" w:rsidR="00631040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 xml:space="preserve">    </w:t>
            </w:r>
          </w:p>
          <w:p w14:paraId="675EE8A9" w14:textId="77777777" w:rsidR="002F4152" w:rsidRPr="009878A0" w:rsidRDefault="0063104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 xml:space="preserve">   200</w:t>
            </w:r>
          </w:p>
        </w:tc>
        <w:tc>
          <w:tcPr>
            <w:tcW w:w="1472" w:type="dxa"/>
            <w:shd w:val="clear" w:color="auto" w:fill="595959" w:themeFill="text1" w:themeFillTint="A6"/>
          </w:tcPr>
          <w:p w14:paraId="3F107D2D" w14:textId="77777777" w:rsidR="00BF49C0" w:rsidRPr="009878A0" w:rsidRDefault="00BF49C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769F02C2" w14:textId="77777777" w:rsidR="00BF49C0" w:rsidRPr="009878A0" w:rsidRDefault="00BF49C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4D39BD65" w14:textId="77777777" w:rsidR="00BF49C0" w:rsidRPr="009878A0" w:rsidRDefault="00BF49C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3B239B57" w14:textId="77777777" w:rsidR="00BF49C0" w:rsidRPr="009878A0" w:rsidRDefault="00BF49C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</w:p>
          <w:p w14:paraId="600B35AA" w14:textId="77777777" w:rsidR="002F4152" w:rsidRPr="009878A0" w:rsidRDefault="00BF49C0" w:rsidP="00D81FA1">
            <w:pPr>
              <w:pStyle w:val="Sinespaciado"/>
              <w:jc w:val="both"/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</w:pPr>
            <w:r w:rsidRPr="009878A0">
              <w:rPr>
                <w:rFonts w:ascii="Microsoft JhengHei" w:eastAsia="Microsoft JhengHei" w:hAnsi="Microsoft JhengHei" w:cs="Arial"/>
                <w:color w:val="FFFFFF" w:themeColor="background1"/>
                <w:sz w:val="20"/>
                <w:szCs w:val="20"/>
              </w:rPr>
              <w:t>ASCENDENTE</w:t>
            </w:r>
          </w:p>
        </w:tc>
      </w:tr>
    </w:tbl>
    <w:p w14:paraId="65BF1BAE" w14:textId="77777777" w:rsidR="00195B0B" w:rsidRPr="009878A0" w:rsidRDefault="00195B0B" w:rsidP="00D81FA1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6F95C08B" w14:textId="77777777" w:rsidR="00D81FA1" w:rsidRPr="009878A0" w:rsidRDefault="00D81FA1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5F0888A2" w14:textId="77777777" w:rsidR="00D81FA1" w:rsidRPr="009878A0" w:rsidRDefault="00D81FA1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0A6FC14F" w14:textId="77777777" w:rsidR="009878A0" w:rsidRDefault="009878A0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5C587EEE" w14:textId="76E35639" w:rsidR="00D24857" w:rsidRPr="009878A0" w:rsidRDefault="00D24857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b/>
          <w:sz w:val="24"/>
          <w:szCs w:val="24"/>
        </w:rPr>
        <w:t>RESULTADOS GENERALES ESPERADOS 2024</w:t>
      </w:r>
    </w:p>
    <w:p w14:paraId="4A0A4C66" w14:textId="77777777" w:rsidR="00D24857" w:rsidRPr="009878A0" w:rsidRDefault="00D24857" w:rsidP="004A6843">
      <w:pPr>
        <w:pStyle w:val="Sinespaciado"/>
        <w:rPr>
          <w:rFonts w:ascii="Microsoft JhengHei" w:eastAsia="Microsoft JhengHei" w:hAnsi="Microsoft JhengHei" w:cs="Arial"/>
          <w:b/>
          <w:sz w:val="24"/>
          <w:szCs w:val="24"/>
        </w:rPr>
      </w:pPr>
    </w:p>
    <w:p w14:paraId="0821BA07" w14:textId="77777777" w:rsidR="00D24857" w:rsidRPr="009878A0" w:rsidRDefault="00D24857" w:rsidP="00D24857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Resultado general esperado 2024 Administrar el municipio con integridad a través de un eficiente sistema de control interno en todas las unidades administrativas del ente público.</w:t>
      </w:r>
    </w:p>
    <w:p w14:paraId="10EA5146" w14:textId="77777777" w:rsidR="00D24857" w:rsidRPr="009878A0" w:rsidRDefault="00D24857" w:rsidP="00D24857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083C9CC9" w14:textId="77777777" w:rsidR="00D24857" w:rsidRPr="009878A0" w:rsidRDefault="00D24857" w:rsidP="00D24857">
      <w:pPr>
        <w:pStyle w:val="Sinespaciado"/>
        <w:jc w:val="both"/>
        <w:rPr>
          <w:rFonts w:ascii="Microsoft JhengHei" w:eastAsia="Microsoft JhengHei" w:hAnsi="Microsoft JhengHei" w:cs="Arial"/>
          <w:b/>
          <w:color w:val="808080" w:themeColor="background1" w:themeShade="80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b/>
          <w:color w:val="808080" w:themeColor="background1" w:themeShade="80"/>
          <w:sz w:val="24"/>
          <w:szCs w:val="24"/>
        </w:rPr>
        <w:t>Resultados específicos</w:t>
      </w:r>
    </w:p>
    <w:p w14:paraId="185780E5" w14:textId="77777777" w:rsidR="00D24857" w:rsidRPr="009878A0" w:rsidRDefault="00D24857" w:rsidP="00D24857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6FF89BAB" w14:textId="77777777" w:rsidR="00D24857" w:rsidRPr="009878A0" w:rsidRDefault="00D24857" w:rsidP="00D24857">
      <w:pPr>
        <w:pStyle w:val="Sinespaciado"/>
        <w:numPr>
          <w:ilvl w:val="0"/>
          <w:numId w:val="4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Consolidar el Sistema Control Interno que permita a organismos gubernamentales contar con una estructura y organización clara en sus 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lastRenderedPageBreak/>
        <w:t>procesos que reduzca la probabilidad de cometer algún acto de corrupción.</w:t>
      </w:r>
    </w:p>
    <w:p w14:paraId="2F78DE17" w14:textId="77777777" w:rsidR="00D24857" w:rsidRPr="009878A0" w:rsidRDefault="00D24857" w:rsidP="00D24857">
      <w:pPr>
        <w:pStyle w:val="Sinespaciado"/>
        <w:ind w:left="825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4AECF2A5" w14:textId="77777777" w:rsidR="00D24857" w:rsidRPr="009878A0" w:rsidRDefault="00D24857" w:rsidP="00D24857">
      <w:pPr>
        <w:pStyle w:val="Sinespaciado"/>
        <w:numPr>
          <w:ilvl w:val="0"/>
          <w:numId w:val="4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Armonizar y homologar criterios de auditoría entre la autoridad municipal en función de lo establecido en las leyes del Sistema Nacional de Fiscalización.</w:t>
      </w:r>
    </w:p>
    <w:p w14:paraId="7F25790E" w14:textId="77777777" w:rsidR="006D6F45" w:rsidRPr="009878A0" w:rsidRDefault="006D6F45" w:rsidP="006D6F45">
      <w:pPr>
        <w:pStyle w:val="Prrafodelista"/>
        <w:rPr>
          <w:rFonts w:ascii="Microsoft JhengHei" w:eastAsia="Microsoft JhengHei" w:hAnsi="Microsoft JhengHei" w:cs="Arial"/>
          <w:sz w:val="24"/>
          <w:szCs w:val="24"/>
        </w:rPr>
      </w:pPr>
    </w:p>
    <w:p w14:paraId="5BA21B79" w14:textId="77777777" w:rsidR="006D6F45" w:rsidRPr="009878A0" w:rsidRDefault="006D6F45" w:rsidP="00D24857">
      <w:pPr>
        <w:pStyle w:val="Sinespaciado"/>
        <w:numPr>
          <w:ilvl w:val="0"/>
          <w:numId w:val="4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>Mejorar la cultura de la integridad en el servicio público, eficientando la coordinación y r</w:t>
      </w:r>
      <w:r w:rsidR="00095347" w:rsidRPr="009878A0">
        <w:rPr>
          <w:rFonts w:ascii="Microsoft JhengHei" w:eastAsia="Microsoft JhengHei" w:hAnsi="Microsoft JhengHei" w:cs="Arial"/>
          <w:sz w:val="24"/>
          <w:szCs w:val="24"/>
        </w:rPr>
        <w:t>esultados del comité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de Étic</w:t>
      </w:r>
      <w:r w:rsidR="00095347" w:rsidRPr="009878A0">
        <w:rPr>
          <w:rFonts w:ascii="Microsoft JhengHei" w:eastAsia="Microsoft JhengHei" w:hAnsi="Microsoft JhengHei" w:cs="Arial"/>
          <w:sz w:val="24"/>
          <w:szCs w:val="24"/>
        </w:rPr>
        <w:t>a, Conducta y Prevención de Conflictos de Interés en el Gobierno Municipal.</w:t>
      </w:r>
    </w:p>
    <w:p w14:paraId="7504E7DE" w14:textId="77777777" w:rsidR="00095347" w:rsidRPr="009878A0" w:rsidRDefault="00095347" w:rsidP="00095347">
      <w:pPr>
        <w:pStyle w:val="Prrafodelista"/>
        <w:rPr>
          <w:rFonts w:ascii="Microsoft JhengHei" w:eastAsia="Microsoft JhengHei" w:hAnsi="Microsoft JhengHei" w:cs="Arial"/>
          <w:sz w:val="24"/>
          <w:szCs w:val="24"/>
        </w:rPr>
      </w:pPr>
    </w:p>
    <w:p w14:paraId="5840139A" w14:textId="77777777" w:rsidR="00095347" w:rsidRPr="009878A0" w:rsidRDefault="00095347" w:rsidP="00D24857">
      <w:pPr>
        <w:pStyle w:val="Sinespaciado"/>
        <w:numPr>
          <w:ilvl w:val="0"/>
          <w:numId w:val="4"/>
        </w:numPr>
        <w:jc w:val="both"/>
        <w:rPr>
          <w:rFonts w:ascii="Microsoft JhengHei" w:eastAsia="Microsoft JhengHei" w:hAnsi="Microsoft JhengHei" w:cs="Arial"/>
          <w:sz w:val="24"/>
          <w:szCs w:val="24"/>
        </w:rPr>
      </w:pP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Aumentar la eficiencia </w:t>
      </w:r>
      <w:r w:rsidR="00A90844" w:rsidRPr="009878A0">
        <w:rPr>
          <w:rFonts w:ascii="Microsoft JhengHei" w:eastAsia="Microsoft JhengHei" w:hAnsi="Microsoft JhengHei" w:cs="Arial"/>
          <w:sz w:val="24"/>
          <w:szCs w:val="24"/>
        </w:rPr>
        <w:t>del comité</w:t>
      </w:r>
      <w:r w:rsidRPr="009878A0">
        <w:rPr>
          <w:rFonts w:ascii="Microsoft JhengHei" w:eastAsia="Microsoft JhengHei" w:hAnsi="Microsoft JhengHei" w:cs="Arial"/>
          <w:sz w:val="24"/>
          <w:szCs w:val="24"/>
        </w:rPr>
        <w:t xml:space="preserve"> de Ética, Conducta y Prevención de Conflictos de Interés a través de la evaluación de su desempeño y resultados.</w:t>
      </w:r>
    </w:p>
    <w:p w14:paraId="2D3CE0C6" w14:textId="77777777" w:rsidR="00D24857" w:rsidRPr="009878A0" w:rsidRDefault="00D24857" w:rsidP="00D24857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1387E001" w14:textId="77777777" w:rsidR="00D24857" w:rsidRPr="009878A0" w:rsidRDefault="00D24857" w:rsidP="00D24857">
      <w:pPr>
        <w:pStyle w:val="Sinespaciado"/>
        <w:jc w:val="both"/>
        <w:rPr>
          <w:rFonts w:ascii="Microsoft JhengHei" w:eastAsia="Microsoft JhengHei" w:hAnsi="Microsoft JhengHei" w:cs="Arial"/>
          <w:sz w:val="24"/>
          <w:szCs w:val="24"/>
        </w:rPr>
      </w:pPr>
    </w:p>
    <w:p w14:paraId="5EA93232" w14:textId="77777777" w:rsidR="00D81FA1" w:rsidRPr="009878A0" w:rsidRDefault="00D81FA1" w:rsidP="00D24857">
      <w:pPr>
        <w:pStyle w:val="Sinespaciado"/>
        <w:jc w:val="both"/>
        <w:rPr>
          <w:rFonts w:ascii="Microsoft JhengHei" w:eastAsia="Microsoft JhengHei" w:hAnsi="Microsoft JhengHei" w:cs="Arial"/>
          <w:b/>
          <w:sz w:val="24"/>
          <w:szCs w:val="24"/>
        </w:rPr>
      </w:pPr>
    </w:p>
    <w:sectPr w:rsidR="00D81FA1" w:rsidRPr="00987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E81DB" w14:textId="77777777" w:rsidR="00136F18" w:rsidRDefault="00136F18" w:rsidP="008E7F94">
      <w:pPr>
        <w:spacing w:after="0" w:line="240" w:lineRule="auto"/>
      </w:pPr>
      <w:r>
        <w:separator/>
      </w:r>
    </w:p>
  </w:endnote>
  <w:endnote w:type="continuationSeparator" w:id="0">
    <w:p w14:paraId="331D0A60" w14:textId="77777777" w:rsidR="00136F18" w:rsidRDefault="00136F18" w:rsidP="008E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08EA4" w14:textId="77777777" w:rsidR="00136F18" w:rsidRDefault="00136F18" w:rsidP="008E7F94">
      <w:pPr>
        <w:spacing w:after="0" w:line="240" w:lineRule="auto"/>
      </w:pPr>
      <w:r>
        <w:separator/>
      </w:r>
    </w:p>
  </w:footnote>
  <w:footnote w:type="continuationSeparator" w:id="0">
    <w:p w14:paraId="6430B35A" w14:textId="77777777" w:rsidR="00136F18" w:rsidRDefault="00136F18" w:rsidP="008E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0D21"/>
    <w:multiLevelType w:val="hybridMultilevel"/>
    <w:tmpl w:val="B59474DE"/>
    <w:lvl w:ilvl="0" w:tplc="4ABC8F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  <w:b/>
        <w:i w:val="0"/>
        <w:color w:val="16BCBC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220"/>
    <w:multiLevelType w:val="multilevel"/>
    <w:tmpl w:val="8A84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90840"/>
    <w:multiLevelType w:val="hybridMultilevel"/>
    <w:tmpl w:val="FFA63CE2"/>
    <w:lvl w:ilvl="0" w:tplc="CAE89EE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CCCC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701C"/>
    <w:multiLevelType w:val="multilevel"/>
    <w:tmpl w:val="4704C6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2269B9"/>
    <w:multiLevelType w:val="hybridMultilevel"/>
    <w:tmpl w:val="4AC6F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B3F98"/>
    <w:multiLevelType w:val="hybridMultilevel"/>
    <w:tmpl w:val="C562D774"/>
    <w:lvl w:ilvl="0" w:tplc="3B4071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699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E3D48"/>
    <w:multiLevelType w:val="hybridMultilevel"/>
    <w:tmpl w:val="73420F18"/>
    <w:lvl w:ilvl="0" w:tplc="3B4071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699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E3B5E"/>
    <w:multiLevelType w:val="hybridMultilevel"/>
    <w:tmpl w:val="F1FE2C62"/>
    <w:lvl w:ilvl="0" w:tplc="DCE4B65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32252"/>
    <w:multiLevelType w:val="hybridMultilevel"/>
    <w:tmpl w:val="BA54ABE8"/>
    <w:lvl w:ilvl="0" w:tplc="3B4071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699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numFmt w:val="upperRoman"/>
        <w:lvlText w:val="%1."/>
        <w:lvlJc w:val="right"/>
      </w:lvl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43"/>
    <w:rsid w:val="00095347"/>
    <w:rsid w:val="00136F18"/>
    <w:rsid w:val="00187254"/>
    <w:rsid w:val="00195B0B"/>
    <w:rsid w:val="001E4423"/>
    <w:rsid w:val="00213BF2"/>
    <w:rsid w:val="002E3D79"/>
    <w:rsid w:val="002F4152"/>
    <w:rsid w:val="004A6843"/>
    <w:rsid w:val="00582375"/>
    <w:rsid w:val="00631040"/>
    <w:rsid w:val="006B38C9"/>
    <w:rsid w:val="006D6F45"/>
    <w:rsid w:val="00751B0E"/>
    <w:rsid w:val="007547DF"/>
    <w:rsid w:val="007E705C"/>
    <w:rsid w:val="0086758D"/>
    <w:rsid w:val="0088717C"/>
    <w:rsid w:val="008E1B64"/>
    <w:rsid w:val="008E7F94"/>
    <w:rsid w:val="00922E08"/>
    <w:rsid w:val="0098152F"/>
    <w:rsid w:val="009878A0"/>
    <w:rsid w:val="009E1765"/>
    <w:rsid w:val="009F0858"/>
    <w:rsid w:val="00A90844"/>
    <w:rsid w:val="00AA4B3F"/>
    <w:rsid w:val="00B00F9C"/>
    <w:rsid w:val="00BF49C0"/>
    <w:rsid w:val="00C64DC6"/>
    <w:rsid w:val="00CD4484"/>
    <w:rsid w:val="00D24857"/>
    <w:rsid w:val="00D81FA1"/>
    <w:rsid w:val="00DE4BAC"/>
    <w:rsid w:val="00E6300F"/>
    <w:rsid w:val="00EE279F"/>
    <w:rsid w:val="00EF7886"/>
    <w:rsid w:val="00F7074D"/>
    <w:rsid w:val="00F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7E38"/>
  <w15:chartTrackingRefBased/>
  <w15:docId w15:val="{D6537D77-56D7-48C1-A0D2-EE37759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684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E7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F94"/>
  </w:style>
  <w:style w:type="paragraph" w:styleId="Piedepgina">
    <w:name w:val="footer"/>
    <w:basedOn w:val="Normal"/>
    <w:link w:val="PiedepginaCar"/>
    <w:uiPriority w:val="99"/>
    <w:unhideWhenUsed/>
    <w:rsid w:val="008E7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F94"/>
  </w:style>
  <w:style w:type="paragraph" w:styleId="Prrafodelista">
    <w:name w:val="List Paragraph"/>
    <w:basedOn w:val="Normal"/>
    <w:uiPriority w:val="34"/>
    <w:qFormat/>
    <w:rsid w:val="00E630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0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9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yuntamientogomezfarias.gob.mx/buzonciudad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9</Pages>
  <Words>1767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Obras Publicas 1</cp:lastModifiedBy>
  <cp:revision>21</cp:revision>
  <dcterms:created xsi:type="dcterms:W3CDTF">2022-03-07T20:07:00Z</dcterms:created>
  <dcterms:modified xsi:type="dcterms:W3CDTF">2022-08-11T17:17:00Z</dcterms:modified>
</cp:coreProperties>
</file>